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E38A2" w14:textId="30143A05" w:rsidR="00BF5B41" w:rsidRPr="006F62A9" w:rsidRDefault="00BF5B41" w:rsidP="00204D36">
      <w:pPr>
        <w:jc w:val="center"/>
        <w:rPr>
          <w:rFonts w:ascii="Times New Roman" w:hAnsi="Times New Roman" w:cs="Times New Roman"/>
          <w:b/>
          <w:bCs/>
          <w:u w:val="single"/>
        </w:rPr>
      </w:pPr>
      <w:r w:rsidRPr="006F62A9">
        <w:rPr>
          <w:rFonts w:ascii="Times New Roman" w:hAnsi="Times New Roman" w:cs="Times New Roman"/>
          <w:b/>
          <w:bCs/>
          <w:u w:val="single"/>
        </w:rPr>
        <w:t>COMUNICATO STAMPA</w:t>
      </w:r>
    </w:p>
    <w:p w14:paraId="4392729E" w14:textId="77777777" w:rsidR="00BF5B41" w:rsidRPr="006F62A9" w:rsidRDefault="00BF5B41" w:rsidP="00204D36">
      <w:pPr>
        <w:jc w:val="center"/>
        <w:rPr>
          <w:rFonts w:ascii="Times New Roman" w:hAnsi="Times New Roman" w:cs="Times New Roman"/>
          <w:b/>
          <w:bCs/>
          <w:i/>
          <w:iCs/>
        </w:rPr>
      </w:pPr>
    </w:p>
    <w:p w14:paraId="243E5BDC" w14:textId="28BC4F82" w:rsidR="00110061" w:rsidRPr="00910CB0" w:rsidRDefault="00110061" w:rsidP="00110061">
      <w:pPr>
        <w:jc w:val="center"/>
        <w:rPr>
          <w:rFonts w:ascii="Times New Roman" w:hAnsi="Times New Roman" w:cs="Times New Roman"/>
          <w:b/>
          <w:bCs/>
          <w:i/>
          <w:iCs/>
        </w:rPr>
      </w:pPr>
      <w:r w:rsidRPr="00910CB0">
        <w:rPr>
          <w:rFonts w:ascii="Times New Roman" w:hAnsi="Times New Roman" w:cs="Times New Roman"/>
          <w:b/>
          <w:bCs/>
          <w:i/>
          <w:iCs/>
        </w:rPr>
        <w:t>PRESENTATO IL 5° RAPPORTO CERGAS</w:t>
      </w:r>
      <w:r w:rsidR="00B653E7">
        <w:rPr>
          <w:rFonts w:ascii="Times New Roman" w:hAnsi="Times New Roman" w:cs="Times New Roman"/>
          <w:b/>
          <w:bCs/>
          <w:i/>
          <w:iCs/>
        </w:rPr>
        <w:t xml:space="preserve"> SDA</w:t>
      </w:r>
      <w:r w:rsidRPr="00910CB0">
        <w:rPr>
          <w:rFonts w:ascii="Times New Roman" w:hAnsi="Times New Roman" w:cs="Times New Roman"/>
          <w:b/>
          <w:bCs/>
          <w:i/>
          <w:iCs/>
        </w:rPr>
        <w:t xml:space="preserve"> BOCCONI E ESSITY SULLO STATO DELL’ASSISTENZA AGLI ANZIANI IN ITALIA: LA CRISI E LA CARENZA DEL PERSONALE MINA</w:t>
      </w:r>
      <w:r w:rsidR="00F055D3">
        <w:rPr>
          <w:rFonts w:ascii="Times New Roman" w:hAnsi="Times New Roman" w:cs="Times New Roman"/>
          <w:b/>
          <w:bCs/>
          <w:i/>
          <w:iCs/>
        </w:rPr>
        <w:t>NO</w:t>
      </w:r>
      <w:r w:rsidRPr="00910CB0">
        <w:rPr>
          <w:rFonts w:ascii="Times New Roman" w:hAnsi="Times New Roman" w:cs="Times New Roman"/>
          <w:b/>
          <w:bCs/>
          <w:i/>
          <w:iCs/>
        </w:rPr>
        <w:t xml:space="preserve"> LA QUALITÀ DEI SERVIZI ALLA PERSONA </w:t>
      </w:r>
    </w:p>
    <w:p w14:paraId="0756BF46" w14:textId="77777777" w:rsidR="00110061" w:rsidRPr="00910CB0" w:rsidRDefault="00110061" w:rsidP="00110061">
      <w:pPr>
        <w:jc w:val="center"/>
        <w:rPr>
          <w:rFonts w:ascii="Times New Roman" w:hAnsi="Times New Roman" w:cs="Times New Roman"/>
          <w:b/>
          <w:bCs/>
          <w:i/>
          <w:iCs/>
        </w:rPr>
      </w:pPr>
    </w:p>
    <w:p w14:paraId="25F48FD3" w14:textId="35D98A3F" w:rsidR="00110061" w:rsidRPr="00910CB0" w:rsidRDefault="00110061" w:rsidP="00110061">
      <w:pPr>
        <w:jc w:val="center"/>
        <w:rPr>
          <w:rFonts w:ascii="Times New Roman" w:hAnsi="Times New Roman" w:cs="Times New Roman"/>
          <w:b/>
          <w:bCs/>
          <w:i/>
          <w:iCs/>
        </w:rPr>
      </w:pPr>
      <w:r w:rsidRPr="00910CB0">
        <w:rPr>
          <w:rFonts w:ascii="Times New Roman" w:hAnsi="Times New Roman" w:cs="Times New Roman"/>
          <w:b/>
          <w:bCs/>
          <w:i/>
          <w:iCs/>
        </w:rPr>
        <w:t xml:space="preserve">Presentato l’annuale Rapporto sulla Long Term Care di Cergas </w:t>
      </w:r>
      <w:r w:rsidR="00B653E7">
        <w:rPr>
          <w:rFonts w:ascii="Times New Roman" w:hAnsi="Times New Roman" w:cs="Times New Roman"/>
          <w:b/>
          <w:bCs/>
          <w:i/>
          <w:iCs/>
        </w:rPr>
        <w:t xml:space="preserve">SDA </w:t>
      </w:r>
      <w:r w:rsidRPr="00910CB0">
        <w:rPr>
          <w:rFonts w:ascii="Times New Roman" w:hAnsi="Times New Roman" w:cs="Times New Roman"/>
          <w:b/>
          <w:bCs/>
          <w:i/>
          <w:iCs/>
        </w:rPr>
        <w:t>Bocconi ed Essity che descrive le tendenze e i cambiamenti in atto nel settore LTC in Italia.</w:t>
      </w:r>
    </w:p>
    <w:p w14:paraId="323E5401" w14:textId="77777777" w:rsidR="00110061" w:rsidRPr="00910CB0" w:rsidRDefault="00110061" w:rsidP="00110061">
      <w:pPr>
        <w:jc w:val="center"/>
        <w:rPr>
          <w:rFonts w:ascii="Times New Roman" w:hAnsi="Times New Roman" w:cs="Times New Roman"/>
          <w:b/>
          <w:bCs/>
          <w:i/>
          <w:iCs/>
        </w:rPr>
      </w:pPr>
      <w:r w:rsidRPr="00910CB0">
        <w:rPr>
          <w:rFonts w:ascii="Times New Roman" w:hAnsi="Times New Roman" w:cs="Times New Roman"/>
          <w:b/>
          <w:bCs/>
          <w:i/>
          <w:iCs/>
        </w:rPr>
        <w:t xml:space="preserve">In Italia </w:t>
      </w:r>
      <w:r>
        <w:rPr>
          <w:rFonts w:ascii="Times New Roman" w:hAnsi="Times New Roman" w:cs="Times New Roman"/>
          <w:b/>
          <w:bCs/>
          <w:i/>
          <w:iCs/>
        </w:rPr>
        <w:t>mancano</w:t>
      </w:r>
      <w:r w:rsidRPr="00910CB0">
        <w:rPr>
          <w:rFonts w:ascii="Times New Roman" w:hAnsi="Times New Roman" w:cs="Times New Roman"/>
          <w:b/>
          <w:bCs/>
          <w:i/>
          <w:iCs/>
        </w:rPr>
        <w:t xml:space="preserve"> infermieri: secondo i gestori delle RSA </w:t>
      </w:r>
      <w:r>
        <w:rPr>
          <w:rFonts w:ascii="Times New Roman" w:hAnsi="Times New Roman" w:cs="Times New Roman"/>
          <w:b/>
          <w:bCs/>
          <w:i/>
          <w:iCs/>
        </w:rPr>
        <w:t xml:space="preserve">la carenza </w:t>
      </w:r>
      <w:r w:rsidRPr="00910CB0">
        <w:rPr>
          <w:rFonts w:ascii="Times New Roman" w:hAnsi="Times New Roman" w:cs="Times New Roman"/>
          <w:b/>
          <w:bCs/>
          <w:i/>
          <w:iCs/>
        </w:rPr>
        <w:t xml:space="preserve">di queste figure professionali </w:t>
      </w:r>
      <w:r>
        <w:rPr>
          <w:rFonts w:ascii="Times New Roman" w:hAnsi="Times New Roman" w:cs="Times New Roman"/>
          <w:b/>
          <w:bCs/>
          <w:i/>
          <w:iCs/>
        </w:rPr>
        <w:t>è pari al</w:t>
      </w:r>
      <w:r w:rsidRPr="00910CB0">
        <w:rPr>
          <w:rFonts w:ascii="Times New Roman" w:hAnsi="Times New Roman" w:cs="Times New Roman"/>
          <w:b/>
          <w:bCs/>
          <w:i/>
          <w:iCs/>
        </w:rPr>
        <w:t xml:space="preserve"> 21,7%</w:t>
      </w:r>
      <w:r>
        <w:rPr>
          <w:rFonts w:ascii="Times New Roman" w:hAnsi="Times New Roman" w:cs="Times New Roman"/>
          <w:b/>
          <w:bCs/>
          <w:i/>
          <w:iCs/>
        </w:rPr>
        <w:t>.</w:t>
      </w:r>
    </w:p>
    <w:p w14:paraId="1C296AFE" w14:textId="01C9BE68" w:rsidR="00110061" w:rsidRPr="00910CB0" w:rsidRDefault="00B653E7" w:rsidP="00110061">
      <w:pPr>
        <w:jc w:val="center"/>
        <w:rPr>
          <w:rFonts w:ascii="Times New Roman" w:hAnsi="Times New Roman" w:cs="Times New Roman"/>
          <w:b/>
          <w:bCs/>
          <w:i/>
          <w:iCs/>
        </w:rPr>
      </w:pPr>
      <w:r>
        <w:rPr>
          <w:rFonts w:ascii="Times New Roman" w:hAnsi="Times New Roman" w:cs="Times New Roman"/>
          <w:b/>
          <w:bCs/>
          <w:i/>
          <w:iCs/>
        </w:rPr>
        <w:t xml:space="preserve">Nonostante ciò, i dati raccolti mostrano che </w:t>
      </w:r>
      <w:r w:rsidR="00110061" w:rsidRPr="00910CB0">
        <w:rPr>
          <w:rFonts w:ascii="Times New Roman" w:hAnsi="Times New Roman" w:cs="Times New Roman"/>
          <w:b/>
          <w:bCs/>
          <w:i/>
          <w:iCs/>
        </w:rPr>
        <w:t xml:space="preserve">le aziende </w:t>
      </w:r>
      <w:r>
        <w:rPr>
          <w:rFonts w:ascii="Times New Roman" w:hAnsi="Times New Roman" w:cs="Times New Roman"/>
          <w:b/>
          <w:bCs/>
          <w:i/>
          <w:iCs/>
        </w:rPr>
        <w:t>operano con dotazioni</w:t>
      </w:r>
      <w:r w:rsidR="00110061" w:rsidRPr="00910CB0">
        <w:rPr>
          <w:rFonts w:ascii="Times New Roman" w:hAnsi="Times New Roman" w:cs="Times New Roman"/>
          <w:b/>
          <w:bCs/>
          <w:i/>
          <w:iCs/>
        </w:rPr>
        <w:t xml:space="preserve"> di organico maggiore di quanto richiesto dalla normativa</w:t>
      </w:r>
      <w:r>
        <w:rPr>
          <w:rFonts w:ascii="Times New Roman" w:hAnsi="Times New Roman" w:cs="Times New Roman"/>
          <w:b/>
          <w:bCs/>
          <w:i/>
          <w:iCs/>
        </w:rPr>
        <w:t>, impiegando più infermieri di quelli richiesti</w:t>
      </w:r>
      <w:r w:rsidR="00F055D3">
        <w:rPr>
          <w:rFonts w:ascii="Times New Roman" w:hAnsi="Times New Roman" w:cs="Times New Roman"/>
          <w:b/>
          <w:bCs/>
          <w:i/>
          <w:iCs/>
        </w:rPr>
        <w:t>,</w:t>
      </w:r>
      <w:r>
        <w:rPr>
          <w:rFonts w:ascii="Times New Roman" w:hAnsi="Times New Roman" w:cs="Times New Roman"/>
          <w:b/>
          <w:bCs/>
          <w:i/>
          <w:iCs/>
        </w:rPr>
        <w:t xml:space="preserve"> data la gravità degli assistiti.</w:t>
      </w:r>
    </w:p>
    <w:p w14:paraId="7BFA4C14" w14:textId="3FBA615A" w:rsidR="00110061" w:rsidRPr="006F62A9" w:rsidRDefault="00110061" w:rsidP="00110061">
      <w:pPr>
        <w:jc w:val="center"/>
        <w:rPr>
          <w:rFonts w:ascii="Times New Roman" w:hAnsi="Times New Roman" w:cs="Times New Roman"/>
          <w:b/>
          <w:bCs/>
          <w:i/>
          <w:iCs/>
        </w:rPr>
      </w:pPr>
      <w:r w:rsidRPr="00910CB0">
        <w:rPr>
          <w:rFonts w:ascii="Times New Roman" w:hAnsi="Times New Roman" w:cs="Times New Roman"/>
          <w:b/>
          <w:bCs/>
          <w:i/>
          <w:iCs/>
        </w:rPr>
        <w:t>Per il futuro del settore</w:t>
      </w:r>
      <w:r>
        <w:rPr>
          <w:rFonts w:ascii="Times New Roman" w:hAnsi="Times New Roman" w:cs="Times New Roman"/>
          <w:b/>
          <w:bCs/>
          <w:i/>
          <w:iCs/>
        </w:rPr>
        <w:t xml:space="preserve"> s</w:t>
      </w:r>
      <w:r w:rsidRPr="00910CB0">
        <w:rPr>
          <w:rFonts w:ascii="Times New Roman" w:hAnsi="Times New Roman" w:cs="Times New Roman"/>
          <w:b/>
          <w:bCs/>
          <w:i/>
          <w:iCs/>
        </w:rPr>
        <w:t xml:space="preserve">erve ripensare i servizi </w:t>
      </w:r>
      <w:r w:rsidR="00B653E7">
        <w:rPr>
          <w:rFonts w:ascii="Times New Roman" w:hAnsi="Times New Roman" w:cs="Times New Roman"/>
          <w:b/>
          <w:bCs/>
          <w:i/>
          <w:iCs/>
        </w:rPr>
        <w:t xml:space="preserve">in modo da valorizzare diversamente i </w:t>
      </w:r>
      <w:r w:rsidRPr="00910CB0">
        <w:rPr>
          <w:rFonts w:ascii="Times New Roman" w:hAnsi="Times New Roman" w:cs="Times New Roman"/>
          <w:b/>
          <w:bCs/>
          <w:i/>
          <w:iCs/>
        </w:rPr>
        <w:t xml:space="preserve">professionisti e </w:t>
      </w:r>
      <w:r w:rsidR="00B653E7">
        <w:rPr>
          <w:rFonts w:ascii="Times New Roman" w:hAnsi="Times New Roman" w:cs="Times New Roman"/>
          <w:b/>
          <w:bCs/>
          <w:i/>
          <w:iCs/>
        </w:rPr>
        <w:t xml:space="preserve">gli </w:t>
      </w:r>
      <w:r w:rsidRPr="00910CB0">
        <w:rPr>
          <w:rFonts w:ascii="Times New Roman" w:hAnsi="Times New Roman" w:cs="Times New Roman"/>
          <w:b/>
          <w:bCs/>
          <w:i/>
          <w:iCs/>
        </w:rPr>
        <w:t>operatori e investire ancora di più sulle persone.</w:t>
      </w:r>
      <w:r>
        <w:rPr>
          <w:rFonts w:ascii="Times New Roman" w:hAnsi="Times New Roman" w:cs="Times New Roman"/>
          <w:b/>
          <w:bCs/>
          <w:i/>
          <w:iCs/>
        </w:rPr>
        <w:t xml:space="preserve"> </w:t>
      </w:r>
    </w:p>
    <w:p w14:paraId="4C458D7E" w14:textId="77777777" w:rsidR="00110061" w:rsidRDefault="00110061" w:rsidP="00110061"/>
    <w:p w14:paraId="15C84582" w14:textId="4BF97394" w:rsidR="00B653E7" w:rsidRDefault="00110061" w:rsidP="00110061">
      <w:pPr>
        <w:jc w:val="both"/>
        <w:rPr>
          <w:rFonts w:ascii="Times New Roman" w:hAnsi="Times New Roman" w:cs="Times New Roman"/>
        </w:rPr>
      </w:pPr>
      <w:r w:rsidRPr="00E97D5C">
        <w:rPr>
          <w:rFonts w:ascii="Times New Roman" w:hAnsi="Times New Roman" w:cs="Times New Roman"/>
          <w:i/>
          <w:iCs/>
        </w:rPr>
        <w:t>Milano,</w:t>
      </w:r>
      <w:r w:rsidR="00323FF7">
        <w:rPr>
          <w:rFonts w:ascii="Times New Roman" w:hAnsi="Times New Roman" w:cs="Times New Roman"/>
          <w:i/>
          <w:iCs/>
        </w:rPr>
        <w:t>15</w:t>
      </w:r>
      <w:r w:rsidRPr="00E97D5C">
        <w:rPr>
          <w:rFonts w:ascii="Times New Roman" w:hAnsi="Times New Roman" w:cs="Times New Roman"/>
          <w:i/>
          <w:iCs/>
        </w:rPr>
        <w:t xml:space="preserve"> febbraio 2023</w:t>
      </w:r>
      <w:r w:rsidRPr="00E97D5C">
        <w:rPr>
          <w:rFonts w:ascii="Times New Roman" w:hAnsi="Times New Roman" w:cs="Times New Roman"/>
          <w:b/>
          <w:bCs/>
          <w:i/>
          <w:iCs/>
        </w:rPr>
        <w:t xml:space="preserve"> –</w:t>
      </w:r>
      <w:r w:rsidRPr="00E97D5C">
        <w:rPr>
          <w:rFonts w:ascii="Times New Roman" w:hAnsi="Times New Roman" w:cs="Times New Roman"/>
        </w:rPr>
        <w:t xml:space="preserve"> </w:t>
      </w:r>
      <w:r w:rsidR="00F055D3">
        <w:rPr>
          <w:rFonts w:ascii="Times New Roman" w:hAnsi="Times New Roman" w:cs="Times New Roman"/>
        </w:rPr>
        <w:t>N</w:t>
      </w:r>
      <w:r w:rsidRPr="00E97D5C">
        <w:rPr>
          <w:rFonts w:ascii="Times New Roman" w:hAnsi="Times New Roman" w:cs="Times New Roman"/>
        </w:rPr>
        <w:t xml:space="preserve">el 2020 le persone over 65 non autosufficienti erano 3.935.982, pari al 28,4% </w:t>
      </w:r>
      <w:r w:rsidR="00F055D3">
        <w:rPr>
          <w:rFonts w:ascii="Times New Roman" w:hAnsi="Times New Roman" w:cs="Times New Roman"/>
        </w:rPr>
        <w:t>del totale</w:t>
      </w:r>
      <w:r w:rsidRPr="00E97D5C">
        <w:rPr>
          <w:rFonts w:ascii="Times New Roman" w:hAnsi="Times New Roman" w:cs="Times New Roman"/>
        </w:rPr>
        <w:t xml:space="preserve">. Un numero importante, che deve destare le coscienze di tutti sulla necessità di rendere il settore dell’assistenza agli anziani in grado di rispondere ai bisogni </w:t>
      </w:r>
      <w:r w:rsidR="00F055D3">
        <w:rPr>
          <w:rFonts w:ascii="Times New Roman" w:hAnsi="Times New Roman" w:cs="Times New Roman"/>
        </w:rPr>
        <w:t>di questa coorte di popolazione</w:t>
      </w:r>
      <w:r w:rsidRPr="00E97D5C">
        <w:rPr>
          <w:rFonts w:ascii="Times New Roman" w:hAnsi="Times New Roman" w:cs="Times New Roman"/>
        </w:rPr>
        <w:t xml:space="preserve">. Questo lo scenario di partenza da cui prende avvio il </w:t>
      </w:r>
      <w:r w:rsidRPr="00E97D5C">
        <w:rPr>
          <w:rFonts w:ascii="Times New Roman" w:hAnsi="Times New Roman" w:cs="Times New Roman"/>
          <w:b/>
          <w:bCs/>
        </w:rPr>
        <w:t xml:space="preserve">5° Rapporto Osservatorio Long Term Care Cergas </w:t>
      </w:r>
      <w:r w:rsidR="00B653E7">
        <w:rPr>
          <w:rFonts w:ascii="Times New Roman" w:hAnsi="Times New Roman" w:cs="Times New Roman"/>
          <w:b/>
          <w:bCs/>
        </w:rPr>
        <w:t xml:space="preserve">SDA </w:t>
      </w:r>
      <w:r w:rsidRPr="00E97D5C">
        <w:rPr>
          <w:rFonts w:ascii="Times New Roman" w:hAnsi="Times New Roman" w:cs="Times New Roman"/>
          <w:b/>
          <w:bCs/>
        </w:rPr>
        <w:t>Bocconi – Essity</w:t>
      </w:r>
      <w:r w:rsidRPr="00E97D5C">
        <w:rPr>
          <w:rFonts w:ascii="Times New Roman" w:hAnsi="Times New Roman" w:cs="Times New Roman"/>
        </w:rPr>
        <w:t>,</w:t>
      </w:r>
      <w:r w:rsidRPr="00E97D5C">
        <w:rPr>
          <w:rFonts w:ascii="Times New Roman" w:hAnsi="Times New Roman" w:cs="Times New Roman"/>
          <w:b/>
          <w:bCs/>
        </w:rPr>
        <w:t xml:space="preserve"> </w:t>
      </w:r>
      <w:r w:rsidRPr="00E97D5C">
        <w:rPr>
          <w:rFonts w:ascii="Times New Roman" w:hAnsi="Times New Roman" w:cs="Times New Roman"/>
        </w:rPr>
        <w:t xml:space="preserve">che quest’anno ha voluto fotografare la </w:t>
      </w:r>
      <w:r w:rsidRPr="00E97D5C">
        <w:rPr>
          <w:rFonts w:ascii="Times New Roman" w:hAnsi="Times New Roman" w:cs="Times New Roman"/>
          <w:b/>
          <w:bCs/>
        </w:rPr>
        <w:t>crisi del personale</w:t>
      </w:r>
      <w:r w:rsidRPr="00E97D5C">
        <w:rPr>
          <w:rFonts w:ascii="Times New Roman" w:hAnsi="Times New Roman" w:cs="Times New Roman"/>
        </w:rPr>
        <w:t>, mettendo in luce da una parte la carenza delle figure professionali, dall’altra come questa crisi si stia riflettendo sulle aziende</w:t>
      </w:r>
      <w:r w:rsidR="00B653E7">
        <w:rPr>
          <w:rFonts w:ascii="Times New Roman" w:hAnsi="Times New Roman" w:cs="Times New Roman"/>
        </w:rPr>
        <w:t xml:space="preserve"> e sui servizi senza che a livello normativo siano stati predisposti degli interventi risolutivi.</w:t>
      </w:r>
      <w:r w:rsidRPr="00E97D5C">
        <w:rPr>
          <w:rFonts w:ascii="Times New Roman" w:hAnsi="Times New Roman" w:cs="Times New Roman"/>
        </w:rPr>
        <w:t xml:space="preserve"> </w:t>
      </w:r>
      <w:r w:rsidRPr="00E97D5C">
        <w:rPr>
          <w:rFonts w:ascii="Times New Roman" w:hAnsi="Times New Roman" w:cs="Times New Roman"/>
          <w:b/>
          <w:bCs/>
        </w:rPr>
        <w:t xml:space="preserve">Secondo i dati del Rapporto, per il 91% delle RSA </w:t>
      </w:r>
      <w:r w:rsidR="00B653E7">
        <w:rPr>
          <w:rFonts w:ascii="Times New Roman" w:hAnsi="Times New Roman" w:cs="Times New Roman"/>
          <w:b/>
          <w:bCs/>
        </w:rPr>
        <w:t>intervistate</w:t>
      </w:r>
      <w:r w:rsidR="00B653E7" w:rsidRPr="00E97D5C">
        <w:rPr>
          <w:rFonts w:ascii="Times New Roman" w:hAnsi="Times New Roman" w:cs="Times New Roman"/>
          <w:b/>
          <w:bCs/>
        </w:rPr>
        <w:t xml:space="preserve"> </w:t>
      </w:r>
      <w:r w:rsidRPr="00E97D5C">
        <w:rPr>
          <w:rFonts w:ascii="Times New Roman" w:hAnsi="Times New Roman" w:cs="Times New Roman"/>
          <w:b/>
          <w:bCs/>
        </w:rPr>
        <w:t xml:space="preserve">la normativa regionale e gli standard </w:t>
      </w:r>
      <w:r w:rsidR="00B653E7">
        <w:rPr>
          <w:rFonts w:ascii="Times New Roman" w:hAnsi="Times New Roman" w:cs="Times New Roman"/>
          <w:b/>
          <w:bCs/>
        </w:rPr>
        <w:t>ormai vetusti dei</w:t>
      </w:r>
      <w:r w:rsidRPr="00E97D5C">
        <w:rPr>
          <w:rFonts w:ascii="Times New Roman" w:hAnsi="Times New Roman" w:cs="Times New Roman"/>
          <w:b/>
          <w:bCs/>
        </w:rPr>
        <w:t xml:space="preserve"> servizi sono percepiti come </w:t>
      </w:r>
      <w:r w:rsidR="00B653E7">
        <w:rPr>
          <w:rFonts w:ascii="Times New Roman" w:hAnsi="Times New Roman" w:cs="Times New Roman"/>
          <w:b/>
          <w:bCs/>
        </w:rPr>
        <w:t xml:space="preserve">il </w:t>
      </w:r>
      <w:r w:rsidRPr="00E97D5C">
        <w:rPr>
          <w:rFonts w:ascii="Times New Roman" w:hAnsi="Times New Roman" w:cs="Times New Roman"/>
          <w:b/>
          <w:bCs/>
        </w:rPr>
        <w:t>più grande vincolo alla gestione del personale</w:t>
      </w:r>
      <w:r w:rsidRPr="00E97D5C">
        <w:rPr>
          <w:rFonts w:ascii="Times New Roman" w:hAnsi="Times New Roman" w:cs="Times New Roman"/>
        </w:rPr>
        <w:t xml:space="preserve">. Gli standard minimi stabiliti dalle norme, infatti, non sempre corrispondono a quanto sarebbe necessario in funzione delle </w:t>
      </w:r>
      <w:r w:rsidR="00B653E7">
        <w:rPr>
          <w:rFonts w:ascii="Times New Roman" w:hAnsi="Times New Roman" w:cs="Times New Roman"/>
        </w:rPr>
        <w:t>caratteristiche</w:t>
      </w:r>
      <w:r w:rsidR="00B653E7" w:rsidRPr="00E97D5C">
        <w:rPr>
          <w:rFonts w:ascii="Times New Roman" w:hAnsi="Times New Roman" w:cs="Times New Roman"/>
        </w:rPr>
        <w:t xml:space="preserve"> </w:t>
      </w:r>
      <w:r w:rsidRPr="00E97D5C">
        <w:rPr>
          <w:rFonts w:ascii="Times New Roman" w:hAnsi="Times New Roman" w:cs="Times New Roman"/>
        </w:rPr>
        <w:t>effettive del servizio residenziale</w:t>
      </w:r>
      <w:r w:rsidR="00F055D3">
        <w:rPr>
          <w:rFonts w:ascii="Times New Roman" w:hAnsi="Times New Roman" w:cs="Times New Roman"/>
        </w:rPr>
        <w:t>, chiamato a rispondere a bisogni dei residenti sempre più complessi e multi-dimensionali</w:t>
      </w:r>
      <w:r w:rsidR="00B653E7">
        <w:rPr>
          <w:rFonts w:ascii="Times New Roman" w:hAnsi="Times New Roman" w:cs="Times New Roman"/>
        </w:rPr>
        <w:t xml:space="preserve">. </w:t>
      </w:r>
    </w:p>
    <w:p w14:paraId="1C83614B" w14:textId="6B887AD3" w:rsidR="00110061" w:rsidRPr="00D42862" w:rsidRDefault="00110061" w:rsidP="00110061">
      <w:pPr>
        <w:jc w:val="both"/>
        <w:rPr>
          <w:rFonts w:ascii="Times New Roman" w:hAnsi="Times New Roman" w:cs="Times New Roman"/>
        </w:rPr>
      </w:pPr>
      <w:r w:rsidRPr="006F62A9">
        <w:rPr>
          <w:rFonts w:ascii="Times New Roman" w:hAnsi="Times New Roman" w:cs="Times New Roman"/>
        </w:rPr>
        <w:t xml:space="preserve">Il </w:t>
      </w:r>
      <w:r>
        <w:rPr>
          <w:rFonts w:ascii="Times New Roman" w:hAnsi="Times New Roman" w:cs="Times New Roman"/>
        </w:rPr>
        <w:t xml:space="preserve">5° </w:t>
      </w:r>
      <w:r w:rsidRPr="006F62A9">
        <w:rPr>
          <w:rFonts w:ascii="Times New Roman" w:hAnsi="Times New Roman" w:cs="Times New Roman"/>
        </w:rPr>
        <w:t>Rapporto</w:t>
      </w:r>
      <w:r>
        <w:rPr>
          <w:rFonts w:ascii="Times New Roman" w:hAnsi="Times New Roman" w:cs="Times New Roman"/>
        </w:rPr>
        <w:t xml:space="preserve"> dell’</w:t>
      </w:r>
      <w:r w:rsidRPr="006F62A9">
        <w:rPr>
          <w:rFonts w:ascii="Times New Roman" w:hAnsi="Times New Roman" w:cs="Times New Roman"/>
        </w:rPr>
        <w:t xml:space="preserve">Osservatorio Long Term Care Cergas </w:t>
      </w:r>
      <w:r w:rsidR="00B653E7">
        <w:rPr>
          <w:rFonts w:ascii="Times New Roman" w:hAnsi="Times New Roman" w:cs="Times New Roman"/>
        </w:rPr>
        <w:t xml:space="preserve">SDA </w:t>
      </w:r>
      <w:r w:rsidRPr="006F62A9">
        <w:rPr>
          <w:rFonts w:ascii="Times New Roman" w:hAnsi="Times New Roman" w:cs="Times New Roman"/>
        </w:rPr>
        <w:t>Bocconi</w:t>
      </w:r>
      <w:r>
        <w:rPr>
          <w:rFonts w:ascii="Times New Roman" w:hAnsi="Times New Roman" w:cs="Times New Roman"/>
        </w:rPr>
        <w:t xml:space="preserve"> </w:t>
      </w:r>
      <w:r w:rsidRPr="006F62A9">
        <w:rPr>
          <w:rFonts w:ascii="Times New Roman" w:hAnsi="Times New Roman" w:cs="Times New Roman"/>
        </w:rPr>
        <w:t>-</w:t>
      </w:r>
      <w:r>
        <w:rPr>
          <w:rFonts w:ascii="Times New Roman" w:hAnsi="Times New Roman" w:cs="Times New Roman"/>
        </w:rPr>
        <w:t xml:space="preserve"> </w:t>
      </w:r>
      <w:r w:rsidRPr="006F62A9">
        <w:rPr>
          <w:rFonts w:ascii="Times New Roman" w:hAnsi="Times New Roman" w:cs="Times New Roman"/>
        </w:rPr>
        <w:t xml:space="preserve">Essity </w:t>
      </w:r>
      <w:r>
        <w:rPr>
          <w:rFonts w:ascii="Times New Roman" w:hAnsi="Times New Roman" w:cs="Times New Roman"/>
        </w:rPr>
        <w:t xml:space="preserve">restituisce un’importante spaccato sul settore dell’assistenza agli anziani in Italia, evidenziando la carenza delle figure professionali. Nelle RSA italiane </w:t>
      </w:r>
      <w:r w:rsidRPr="005B4C24">
        <w:rPr>
          <w:rFonts w:ascii="Times New Roman" w:hAnsi="Times New Roman" w:cs="Times New Roman"/>
          <w:b/>
          <w:bCs/>
        </w:rPr>
        <w:t>mancano all’appello il 21,7% degli infermieri, il 13% dei medici e il 10,8% degli OSS</w:t>
      </w:r>
      <w:r>
        <w:rPr>
          <w:rFonts w:ascii="Times New Roman" w:hAnsi="Times New Roman" w:cs="Times New Roman"/>
        </w:rPr>
        <w:t>. Tra le cause, anche la competizione tra settore sanitario e sociosanitario: i</w:t>
      </w:r>
      <w:r w:rsidRPr="00D42862">
        <w:rPr>
          <w:rFonts w:ascii="Times New Roman" w:hAnsi="Times New Roman" w:cs="Times New Roman"/>
        </w:rPr>
        <w:t>l 61,7% degli infermieri</w:t>
      </w:r>
      <w:r>
        <w:rPr>
          <w:rFonts w:ascii="Times New Roman" w:hAnsi="Times New Roman" w:cs="Times New Roman"/>
        </w:rPr>
        <w:t>, infatti,</w:t>
      </w:r>
      <w:r w:rsidRPr="00D42862">
        <w:rPr>
          <w:rFonts w:ascii="Times New Roman" w:hAnsi="Times New Roman" w:cs="Times New Roman"/>
        </w:rPr>
        <w:t xml:space="preserve"> ha lasciato le </w:t>
      </w:r>
      <w:r>
        <w:rPr>
          <w:rFonts w:ascii="Times New Roman" w:hAnsi="Times New Roman" w:cs="Times New Roman"/>
        </w:rPr>
        <w:t>RSA</w:t>
      </w:r>
      <w:r w:rsidRPr="00D42862">
        <w:rPr>
          <w:rFonts w:ascii="Times New Roman" w:hAnsi="Times New Roman" w:cs="Times New Roman"/>
        </w:rPr>
        <w:t xml:space="preserve"> per nuovi contratti di lavoro nel comparto sanitario ospedaliero.</w:t>
      </w:r>
      <w:r>
        <w:rPr>
          <w:rFonts w:ascii="Times New Roman" w:hAnsi="Times New Roman" w:cs="Times New Roman"/>
        </w:rPr>
        <w:t xml:space="preserve"> Tutto ciò mette notevolmente a rischio la qualità del servizio assistenziale e la crescita del settore stesso. </w:t>
      </w:r>
      <w:r w:rsidRPr="00CF02D5">
        <w:rPr>
          <w:rFonts w:ascii="Times New Roman" w:hAnsi="Times New Roman" w:cs="Times New Roman"/>
          <w:b/>
          <w:bCs/>
        </w:rPr>
        <w:t>La crisi del personale impatta direttamente sulle aziende</w:t>
      </w:r>
      <w:r>
        <w:rPr>
          <w:rFonts w:ascii="Times New Roman" w:hAnsi="Times New Roman" w:cs="Times New Roman"/>
        </w:rPr>
        <w:t>, come testimoniano i gestori delle RSA partecipanti:</w:t>
      </w:r>
      <w:r w:rsidRPr="00D42862">
        <w:rPr>
          <w:rFonts w:ascii="Times New Roman" w:hAnsi="Times New Roman" w:cs="Times New Roman"/>
        </w:rPr>
        <w:t xml:space="preserve"> </w:t>
      </w:r>
      <w:r>
        <w:rPr>
          <w:rFonts w:ascii="Times New Roman" w:hAnsi="Times New Roman" w:cs="Times New Roman"/>
        </w:rPr>
        <w:t xml:space="preserve">secondo </w:t>
      </w:r>
      <w:r w:rsidRPr="00D42862">
        <w:rPr>
          <w:rFonts w:ascii="Times New Roman" w:hAnsi="Times New Roman" w:cs="Times New Roman"/>
        </w:rPr>
        <w:t>il 90%</w:t>
      </w:r>
      <w:r w:rsidR="00B653E7">
        <w:rPr>
          <w:rFonts w:ascii="Times New Roman" w:hAnsi="Times New Roman" w:cs="Times New Roman"/>
        </w:rPr>
        <w:t>,</w:t>
      </w:r>
      <w:r w:rsidRPr="00D42862">
        <w:rPr>
          <w:rFonts w:ascii="Times New Roman" w:hAnsi="Times New Roman" w:cs="Times New Roman"/>
        </w:rPr>
        <w:t xml:space="preserve"> i costi del personale sono aumentati</w:t>
      </w:r>
      <w:r w:rsidR="00B653E7">
        <w:rPr>
          <w:rFonts w:ascii="Times New Roman" w:hAnsi="Times New Roman" w:cs="Times New Roman"/>
        </w:rPr>
        <w:t xml:space="preserve"> nel 2022,</w:t>
      </w:r>
      <w:r>
        <w:rPr>
          <w:rFonts w:ascii="Times New Roman" w:hAnsi="Times New Roman" w:cs="Times New Roman"/>
        </w:rPr>
        <w:t xml:space="preserve"> mentre</w:t>
      </w:r>
      <w:r w:rsidRPr="00D42862">
        <w:rPr>
          <w:rFonts w:ascii="Times New Roman" w:hAnsi="Times New Roman" w:cs="Times New Roman"/>
        </w:rPr>
        <w:t xml:space="preserve"> il 74% </w:t>
      </w:r>
      <w:r>
        <w:rPr>
          <w:rFonts w:ascii="Times New Roman" w:hAnsi="Times New Roman" w:cs="Times New Roman"/>
        </w:rPr>
        <w:t>dichiara</w:t>
      </w:r>
      <w:r w:rsidRPr="00D42862">
        <w:rPr>
          <w:rFonts w:ascii="Times New Roman" w:hAnsi="Times New Roman" w:cs="Times New Roman"/>
        </w:rPr>
        <w:t xml:space="preserve"> che il burn out dei dipendenti è </w:t>
      </w:r>
      <w:r>
        <w:rPr>
          <w:rFonts w:ascii="Times New Roman" w:hAnsi="Times New Roman" w:cs="Times New Roman"/>
        </w:rPr>
        <w:t>cresciuto</w:t>
      </w:r>
      <w:r w:rsidRPr="00D42862">
        <w:rPr>
          <w:rFonts w:ascii="Times New Roman" w:hAnsi="Times New Roman" w:cs="Times New Roman"/>
        </w:rPr>
        <w:t xml:space="preserve"> e che la qualità dei servizi è peggiorata</w:t>
      </w:r>
      <w:r w:rsidR="00B653E7">
        <w:rPr>
          <w:rFonts w:ascii="Times New Roman" w:hAnsi="Times New Roman" w:cs="Times New Roman"/>
        </w:rPr>
        <w:t xml:space="preserve"> in virtù della carenza numerica.</w:t>
      </w:r>
    </w:p>
    <w:p w14:paraId="773835F6" w14:textId="1885923F" w:rsidR="00110061" w:rsidRDefault="00F055D3" w:rsidP="00110061">
      <w:pPr>
        <w:jc w:val="both"/>
        <w:rPr>
          <w:rFonts w:ascii="Times New Roman" w:hAnsi="Times New Roman" w:cs="Times New Roman"/>
        </w:rPr>
      </w:pPr>
      <w:r>
        <w:rPr>
          <w:rFonts w:ascii="Times New Roman" w:hAnsi="Times New Roman" w:cs="Times New Roman"/>
        </w:rPr>
        <w:t xml:space="preserve">A complicare ulteriormente il quadro, il Rapporto evidenzia come quando </w:t>
      </w:r>
      <w:r w:rsidR="00110061" w:rsidRPr="006F62A9">
        <w:rPr>
          <w:rFonts w:ascii="Times New Roman" w:hAnsi="Times New Roman" w:cs="Times New Roman"/>
        </w:rPr>
        <w:t>si parla di Long Term Care in Italia</w:t>
      </w:r>
      <w:r w:rsidR="00110061">
        <w:rPr>
          <w:rFonts w:ascii="Times New Roman" w:hAnsi="Times New Roman" w:cs="Times New Roman"/>
        </w:rPr>
        <w:t xml:space="preserve"> si fa</w:t>
      </w:r>
      <w:r>
        <w:rPr>
          <w:rFonts w:ascii="Times New Roman" w:hAnsi="Times New Roman" w:cs="Times New Roman"/>
        </w:rPr>
        <w:t>ccia</w:t>
      </w:r>
      <w:r w:rsidR="00110061">
        <w:rPr>
          <w:rFonts w:ascii="Times New Roman" w:hAnsi="Times New Roman" w:cs="Times New Roman"/>
        </w:rPr>
        <w:t xml:space="preserve"> riferimento a</w:t>
      </w:r>
      <w:r w:rsidR="00110061" w:rsidRPr="002A1B5C">
        <w:rPr>
          <w:rFonts w:ascii="Times New Roman" w:hAnsi="Times New Roman" w:cs="Times New Roman"/>
        </w:rPr>
        <w:t xml:space="preserve"> una </w:t>
      </w:r>
      <w:r w:rsidR="00110061" w:rsidRPr="005B4C24">
        <w:rPr>
          <w:rFonts w:ascii="Times New Roman" w:hAnsi="Times New Roman" w:cs="Times New Roman"/>
          <w:b/>
          <w:bCs/>
        </w:rPr>
        <w:t>moltitudine di servizi assistenziali</w:t>
      </w:r>
      <w:r w:rsidR="00110061" w:rsidRPr="002A1B5C">
        <w:rPr>
          <w:rFonts w:ascii="Times New Roman" w:hAnsi="Times New Roman" w:cs="Times New Roman"/>
        </w:rPr>
        <w:t xml:space="preserve">, anche molto diversi tra loro in termini di vocazione e modalità di </w:t>
      </w:r>
      <w:r w:rsidR="00110061" w:rsidRPr="009748FA">
        <w:rPr>
          <w:rFonts w:ascii="Times New Roman" w:hAnsi="Times New Roman" w:cs="Times New Roman"/>
        </w:rPr>
        <w:t xml:space="preserve">funzionamento. Il Rapporto ha messo </w:t>
      </w:r>
      <w:r w:rsidR="00110061" w:rsidRPr="003F2484">
        <w:rPr>
          <w:rFonts w:ascii="Times New Roman" w:hAnsi="Times New Roman" w:cs="Times New Roman"/>
          <w:b/>
          <w:bCs/>
        </w:rPr>
        <w:t>a confronto il modello di residenzialità per anziani in 12 regioni italiane</w:t>
      </w:r>
      <w:r w:rsidR="00110061" w:rsidRPr="009748FA">
        <w:rPr>
          <w:rFonts w:ascii="Times New Roman" w:hAnsi="Times New Roman" w:cs="Times New Roman"/>
        </w:rPr>
        <w:t>; ne è emersa</w:t>
      </w:r>
      <w:r w:rsidR="00110061">
        <w:rPr>
          <w:rFonts w:ascii="Times New Roman" w:hAnsi="Times New Roman" w:cs="Times New Roman"/>
        </w:rPr>
        <w:t xml:space="preserve"> </w:t>
      </w:r>
      <w:r w:rsidR="00110061" w:rsidRPr="003F2484">
        <w:rPr>
          <w:rFonts w:ascii="Times New Roman" w:hAnsi="Times New Roman" w:cs="Times New Roman"/>
          <w:b/>
          <w:bCs/>
        </w:rPr>
        <w:t>un’estrema eterogeneità</w:t>
      </w:r>
      <w:r w:rsidR="00110061">
        <w:rPr>
          <w:rFonts w:ascii="Times New Roman" w:hAnsi="Times New Roman" w:cs="Times New Roman"/>
        </w:rPr>
        <w:t>, che deriva principalmente da</w:t>
      </w:r>
      <w:r w:rsidR="00110061" w:rsidRPr="002A1B5C">
        <w:rPr>
          <w:rFonts w:ascii="Times New Roman" w:hAnsi="Times New Roman" w:cs="Times New Roman"/>
        </w:rPr>
        <w:t xml:space="preserve">lla modalità con cui le regioni hanno normato e fissato </w:t>
      </w:r>
      <w:r w:rsidR="00110061">
        <w:rPr>
          <w:rFonts w:ascii="Times New Roman" w:hAnsi="Times New Roman" w:cs="Times New Roman"/>
        </w:rPr>
        <w:t>gli standard</w:t>
      </w:r>
      <w:r w:rsidR="00110061" w:rsidRPr="002A1B5C">
        <w:rPr>
          <w:rFonts w:ascii="Times New Roman" w:hAnsi="Times New Roman" w:cs="Times New Roman"/>
        </w:rPr>
        <w:t xml:space="preserve"> per i servizi residenziali</w:t>
      </w:r>
      <w:r w:rsidR="00110061">
        <w:rPr>
          <w:rFonts w:ascii="Times New Roman" w:hAnsi="Times New Roman" w:cs="Times New Roman"/>
        </w:rPr>
        <w:t xml:space="preserve">. </w:t>
      </w:r>
      <w:r w:rsidR="00B653E7">
        <w:rPr>
          <w:rFonts w:ascii="Times New Roman" w:hAnsi="Times New Roman" w:cs="Times New Roman"/>
        </w:rPr>
        <w:t>RSA non vuol dire la stessa cosa in tutte le regioni</w:t>
      </w:r>
      <w:r>
        <w:rPr>
          <w:rFonts w:ascii="Times New Roman" w:hAnsi="Times New Roman" w:cs="Times New Roman"/>
        </w:rPr>
        <w:t>,</w:t>
      </w:r>
      <w:r w:rsidR="00B653E7">
        <w:rPr>
          <w:rFonts w:ascii="Times New Roman" w:hAnsi="Times New Roman" w:cs="Times New Roman"/>
        </w:rPr>
        <w:t xml:space="preserve"> determinando una profonda iniquità nel Paese. </w:t>
      </w:r>
      <w:r w:rsidR="00110061">
        <w:rPr>
          <w:rFonts w:ascii="Times New Roman" w:hAnsi="Times New Roman" w:cs="Times New Roman"/>
        </w:rPr>
        <w:t>L</w:t>
      </w:r>
      <w:r w:rsidR="00110061" w:rsidRPr="002A1B5C">
        <w:rPr>
          <w:rFonts w:ascii="Times New Roman" w:hAnsi="Times New Roman" w:cs="Times New Roman"/>
        </w:rPr>
        <w:t xml:space="preserve">e </w:t>
      </w:r>
      <w:r w:rsidR="00110061" w:rsidRPr="005573ED">
        <w:rPr>
          <w:rFonts w:ascii="Times New Roman" w:hAnsi="Times New Roman" w:cs="Times New Roman"/>
          <w:b/>
          <w:bCs/>
        </w:rPr>
        <w:t>diverse normativ</w:t>
      </w:r>
      <w:r w:rsidR="00B653E7">
        <w:rPr>
          <w:rFonts w:ascii="Times New Roman" w:hAnsi="Times New Roman" w:cs="Times New Roman"/>
        </w:rPr>
        <w:t xml:space="preserve">e </w:t>
      </w:r>
      <w:r w:rsidR="00110061" w:rsidRPr="002A1B5C">
        <w:rPr>
          <w:rFonts w:ascii="Times New Roman" w:hAnsi="Times New Roman" w:cs="Times New Roman"/>
        </w:rPr>
        <w:t xml:space="preserve">hanno infatti </w:t>
      </w:r>
      <w:r w:rsidR="00B653E7">
        <w:rPr>
          <w:rFonts w:ascii="Times New Roman" w:hAnsi="Times New Roman" w:cs="Times New Roman"/>
        </w:rPr>
        <w:t xml:space="preserve">prodotto standard assistenziali, tariffe e criteri di classificazione degli ospiti diversi, con </w:t>
      </w:r>
      <w:r w:rsidR="00110061" w:rsidRPr="002A1B5C">
        <w:rPr>
          <w:rFonts w:ascii="Times New Roman" w:hAnsi="Times New Roman" w:cs="Times New Roman"/>
        </w:rPr>
        <w:t xml:space="preserve">impatti </w:t>
      </w:r>
      <w:r w:rsidR="00110061" w:rsidRPr="002A1B5C">
        <w:rPr>
          <w:rFonts w:ascii="Times New Roman" w:hAnsi="Times New Roman" w:cs="Times New Roman"/>
        </w:rPr>
        <w:lastRenderedPageBreak/>
        <w:t xml:space="preserve">inevitabilmente differenti sull’operatività dei gestori e </w:t>
      </w:r>
      <w:r w:rsidR="00B653E7">
        <w:rPr>
          <w:rFonts w:ascii="Times New Roman" w:hAnsi="Times New Roman" w:cs="Times New Roman"/>
        </w:rPr>
        <w:t>sul</w:t>
      </w:r>
      <w:r w:rsidR="00110061" w:rsidRPr="002A1B5C">
        <w:rPr>
          <w:rFonts w:ascii="Times New Roman" w:hAnsi="Times New Roman" w:cs="Times New Roman"/>
        </w:rPr>
        <w:t>la loro capacità di innovare e di rispondere ai bisogni della cittadinanza.</w:t>
      </w:r>
      <w:r w:rsidR="00B653E7">
        <w:rPr>
          <w:rFonts w:ascii="Times New Roman" w:hAnsi="Times New Roman" w:cs="Times New Roman"/>
        </w:rPr>
        <w:t xml:space="preserve"> </w:t>
      </w:r>
      <w:r w:rsidR="00110061">
        <w:rPr>
          <w:rFonts w:ascii="Times New Roman" w:hAnsi="Times New Roman" w:cs="Times New Roman"/>
        </w:rPr>
        <w:t xml:space="preserve">Tuttavia, un dato interessante che per la prima volta il Rapporto evidenzia è che dal confronto con le normative regionali risulta che </w:t>
      </w:r>
      <w:r w:rsidR="00110061" w:rsidRPr="005B4C24">
        <w:rPr>
          <w:rFonts w:ascii="Times New Roman" w:hAnsi="Times New Roman" w:cs="Times New Roman"/>
          <w:b/>
          <w:bCs/>
        </w:rPr>
        <w:t>le aziende hanno mediamente dotazioni di organico maggiore di quanto richiesto dalle norme</w:t>
      </w:r>
      <w:r w:rsidR="00110061" w:rsidRPr="009748FA">
        <w:rPr>
          <w:rFonts w:ascii="Times New Roman" w:hAnsi="Times New Roman" w:cs="Times New Roman"/>
        </w:rPr>
        <w:t xml:space="preserve">: il campione </w:t>
      </w:r>
      <w:r w:rsidR="00110061">
        <w:rPr>
          <w:rFonts w:ascii="Times New Roman" w:hAnsi="Times New Roman" w:cs="Times New Roman"/>
        </w:rPr>
        <w:t xml:space="preserve">analizzato </w:t>
      </w:r>
      <w:r w:rsidR="00110061" w:rsidRPr="009748FA">
        <w:rPr>
          <w:rFonts w:ascii="Times New Roman" w:hAnsi="Times New Roman" w:cs="Times New Roman"/>
        </w:rPr>
        <w:t>mostra una media di un infermiere ogni 5,1 OSS (dato 2021)</w:t>
      </w:r>
      <w:r>
        <w:rPr>
          <w:rFonts w:ascii="Times New Roman" w:hAnsi="Times New Roman" w:cs="Times New Roman"/>
        </w:rPr>
        <w:t>, più alto rispetto al rapporto medio di 5,6 definito dagli standard regionali</w:t>
      </w:r>
      <w:r w:rsidR="00110061" w:rsidRPr="009748FA">
        <w:rPr>
          <w:rFonts w:ascii="Times New Roman" w:hAnsi="Times New Roman" w:cs="Times New Roman"/>
        </w:rPr>
        <w:t xml:space="preserve">. </w:t>
      </w:r>
    </w:p>
    <w:p w14:paraId="427B15A7" w14:textId="0F52E260" w:rsidR="00110061" w:rsidRDefault="00110061" w:rsidP="00110061">
      <w:pPr>
        <w:jc w:val="both"/>
        <w:rPr>
          <w:rFonts w:ascii="Times New Roman" w:hAnsi="Times New Roman" w:cs="Times New Roman"/>
        </w:rPr>
      </w:pPr>
      <w:r w:rsidRPr="005573ED">
        <w:rPr>
          <w:rFonts w:ascii="Times New Roman" w:hAnsi="Times New Roman" w:cs="Times New Roman"/>
        </w:rPr>
        <w:t xml:space="preserve">Stando ai soggetti promotori del Rapporto, ci sono alcune </w:t>
      </w:r>
      <w:r w:rsidRPr="005573ED">
        <w:rPr>
          <w:rFonts w:ascii="Times New Roman" w:hAnsi="Times New Roman" w:cs="Times New Roman"/>
          <w:b/>
          <w:bCs/>
        </w:rPr>
        <w:t>direttrici</w:t>
      </w:r>
      <w:r w:rsidRPr="005573ED">
        <w:rPr>
          <w:rFonts w:ascii="Times New Roman" w:hAnsi="Times New Roman" w:cs="Times New Roman"/>
        </w:rPr>
        <w:t xml:space="preserve"> su cui sarebbe opportuno muoversi per garantire </w:t>
      </w:r>
      <w:r w:rsidR="00EF34F9">
        <w:rPr>
          <w:rFonts w:ascii="Times New Roman" w:hAnsi="Times New Roman" w:cs="Times New Roman"/>
        </w:rPr>
        <w:t>maggiore</w:t>
      </w:r>
      <w:r w:rsidR="00EF34F9" w:rsidRPr="005573ED">
        <w:rPr>
          <w:rFonts w:ascii="Times New Roman" w:hAnsi="Times New Roman" w:cs="Times New Roman"/>
        </w:rPr>
        <w:t xml:space="preserve"> </w:t>
      </w:r>
      <w:r w:rsidRPr="005573ED">
        <w:rPr>
          <w:rFonts w:ascii="Times New Roman" w:hAnsi="Times New Roman" w:cs="Times New Roman"/>
        </w:rPr>
        <w:t xml:space="preserve">qualità assistenziale e per affrontare la crisi del personale e la sua ricaduta sul settore Long Term Care, soprattutto se si considera che </w:t>
      </w:r>
      <w:r w:rsidRPr="005573ED">
        <w:rPr>
          <w:rFonts w:ascii="Times New Roman" w:hAnsi="Times New Roman" w:cs="Times New Roman"/>
          <w:b/>
          <w:bCs/>
        </w:rPr>
        <w:t>nel 2021</w:t>
      </w:r>
      <w:r w:rsidRPr="005573ED">
        <w:rPr>
          <w:rFonts w:ascii="Times New Roman" w:hAnsi="Times New Roman" w:cs="Times New Roman"/>
        </w:rPr>
        <w:t xml:space="preserve"> il 62% </w:t>
      </w:r>
      <w:r w:rsidRPr="005573ED">
        <w:rPr>
          <w:rFonts w:ascii="Times New Roman" w:hAnsi="Times New Roman" w:cs="Times New Roman"/>
          <w:b/>
          <w:bCs/>
        </w:rPr>
        <w:t>le aziende partecipanti ha</w:t>
      </w:r>
      <w:r w:rsidR="00EF34F9">
        <w:rPr>
          <w:rFonts w:ascii="Times New Roman" w:hAnsi="Times New Roman" w:cs="Times New Roman"/>
          <w:b/>
          <w:bCs/>
        </w:rPr>
        <w:t>nno</w:t>
      </w:r>
      <w:r w:rsidRPr="005573ED">
        <w:rPr>
          <w:rFonts w:ascii="Times New Roman" w:hAnsi="Times New Roman" w:cs="Times New Roman"/>
          <w:b/>
          <w:bCs/>
        </w:rPr>
        <w:t xml:space="preserve"> dichiarato che il bilancio è peggiorato</w:t>
      </w:r>
      <w:r w:rsidRPr="005573ED">
        <w:rPr>
          <w:rFonts w:ascii="Times New Roman" w:hAnsi="Times New Roman" w:cs="Times New Roman"/>
        </w:rPr>
        <w:t xml:space="preserve">. In questo senso il Rapporto dell’Osservatorio Long Term Care Cergas </w:t>
      </w:r>
      <w:r w:rsidR="00EF34F9">
        <w:rPr>
          <w:rFonts w:ascii="Times New Roman" w:hAnsi="Times New Roman" w:cs="Times New Roman"/>
        </w:rPr>
        <w:t xml:space="preserve">SDA </w:t>
      </w:r>
      <w:r w:rsidRPr="005573ED">
        <w:rPr>
          <w:rFonts w:ascii="Times New Roman" w:hAnsi="Times New Roman" w:cs="Times New Roman"/>
        </w:rPr>
        <w:t xml:space="preserve">Bocconi – Essity si rivela una grande opportunità per il settore, perché rappresenta </w:t>
      </w:r>
      <w:r w:rsidRPr="005573ED">
        <w:rPr>
          <w:rFonts w:ascii="Times New Roman" w:hAnsi="Times New Roman" w:cs="Times New Roman"/>
          <w:b/>
          <w:bCs/>
        </w:rPr>
        <w:t>un’occasione di scambio e di condivisione</w:t>
      </w:r>
      <w:r w:rsidRPr="005573ED">
        <w:rPr>
          <w:rFonts w:ascii="Times New Roman" w:hAnsi="Times New Roman" w:cs="Times New Roman"/>
        </w:rPr>
        <w:t xml:space="preserve"> </w:t>
      </w:r>
      <w:r w:rsidR="00EF34F9">
        <w:rPr>
          <w:rFonts w:ascii="Times New Roman" w:hAnsi="Times New Roman" w:cs="Times New Roman"/>
        </w:rPr>
        <w:t>sugli aspetti</w:t>
      </w:r>
      <w:r w:rsidRPr="005573ED">
        <w:rPr>
          <w:rFonts w:ascii="Times New Roman" w:hAnsi="Times New Roman" w:cs="Times New Roman"/>
        </w:rPr>
        <w:t xml:space="preserve"> managerial</w:t>
      </w:r>
      <w:r w:rsidR="00735399">
        <w:rPr>
          <w:rFonts w:ascii="Times New Roman" w:hAnsi="Times New Roman" w:cs="Times New Roman"/>
        </w:rPr>
        <w:t>i</w:t>
      </w:r>
      <w:r>
        <w:rPr>
          <w:rFonts w:ascii="Times New Roman" w:hAnsi="Times New Roman" w:cs="Times New Roman"/>
        </w:rPr>
        <w:t>, e un prezioso punto di incontro tra il sistema di welfare pubblico e il settore privato.</w:t>
      </w:r>
    </w:p>
    <w:p w14:paraId="06FA881B" w14:textId="77777777" w:rsidR="00110061" w:rsidRPr="00951211" w:rsidRDefault="00110061" w:rsidP="00323FF7">
      <w:pPr>
        <w:jc w:val="both"/>
        <w:rPr>
          <w:rFonts w:ascii="Times New Roman" w:hAnsi="Times New Roman" w:cs="Times New Roman"/>
          <w:highlight w:val="cyan"/>
        </w:rPr>
      </w:pPr>
      <w:r w:rsidRPr="005573ED">
        <w:rPr>
          <w:rFonts w:ascii="Times New Roman" w:hAnsi="Times New Roman" w:cs="Times New Roman"/>
        </w:rPr>
        <w:t xml:space="preserve">Dichiara </w:t>
      </w:r>
      <w:r w:rsidRPr="005573ED">
        <w:rPr>
          <w:rFonts w:ascii="Times New Roman" w:hAnsi="Times New Roman" w:cs="Times New Roman"/>
          <w:b/>
        </w:rPr>
        <w:t>Elisabetta Notarnicola</w:t>
      </w:r>
      <w:r w:rsidRPr="005573ED">
        <w:rPr>
          <w:rFonts w:ascii="Times New Roman" w:hAnsi="Times New Roman" w:cs="Times New Roman"/>
          <w:bCs/>
        </w:rPr>
        <w:t xml:space="preserve">, Associate Professor of Practice, Divisione Government, Health e Not for Profit presso SDA Bocconi School of Management e coordinatrice del Rapporto </w:t>
      </w:r>
      <w:r w:rsidRPr="005573ED">
        <w:rPr>
          <w:rFonts w:ascii="Times New Roman" w:hAnsi="Times New Roman" w:cs="Times New Roman"/>
        </w:rPr>
        <w:t>“</w:t>
      </w:r>
      <w:r w:rsidRPr="00951211">
        <w:rPr>
          <w:rFonts w:ascii="Times New Roman" w:hAnsi="Times New Roman" w:cs="Times New Roman"/>
          <w:i/>
          <w:iCs/>
          <w:color w:val="000000"/>
        </w:rPr>
        <w:t xml:space="preserve">I dati mostrano che </w:t>
      </w:r>
      <w:r>
        <w:rPr>
          <w:rFonts w:ascii="Times New Roman" w:hAnsi="Times New Roman" w:cs="Times New Roman"/>
          <w:i/>
          <w:iCs/>
          <w:color w:val="000000"/>
        </w:rPr>
        <w:t>affrontare la crisi de</w:t>
      </w:r>
      <w:r w:rsidRPr="00951211">
        <w:rPr>
          <w:rFonts w:ascii="Times New Roman" w:hAnsi="Times New Roman" w:cs="Times New Roman"/>
          <w:i/>
          <w:iCs/>
          <w:color w:val="000000"/>
        </w:rPr>
        <w:t>l personale è possibile</w:t>
      </w:r>
      <w:r>
        <w:rPr>
          <w:rFonts w:ascii="Times New Roman" w:hAnsi="Times New Roman" w:cs="Times New Roman"/>
          <w:i/>
          <w:iCs/>
          <w:color w:val="000000"/>
        </w:rPr>
        <w:t>,</w:t>
      </w:r>
      <w:r w:rsidRPr="00951211">
        <w:rPr>
          <w:rFonts w:ascii="Times New Roman" w:hAnsi="Times New Roman" w:cs="Times New Roman"/>
          <w:i/>
          <w:iCs/>
          <w:color w:val="000000"/>
        </w:rPr>
        <w:t xml:space="preserve"> ma serve un investimento in una duplice direzione: ripensare i servizi in funzione anche delle nuove necessità dei professionisti e operatori e investire ancora di più sulle persone.</w:t>
      </w:r>
      <w:r>
        <w:rPr>
          <w:rFonts w:ascii="Times New Roman" w:hAnsi="Times New Roman" w:cs="Times New Roman"/>
          <w:i/>
          <w:iCs/>
          <w:color w:val="000000"/>
        </w:rPr>
        <w:t xml:space="preserve"> N</w:t>
      </w:r>
      <w:r w:rsidRPr="00951211">
        <w:rPr>
          <w:rFonts w:ascii="Times New Roman" w:hAnsi="Times New Roman" w:cs="Times New Roman"/>
          <w:i/>
          <w:iCs/>
          <w:color w:val="000000"/>
        </w:rPr>
        <w:t>egli anni</w:t>
      </w:r>
      <w:r>
        <w:rPr>
          <w:rFonts w:ascii="Times New Roman" w:hAnsi="Times New Roman" w:cs="Times New Roman"/>
          <w:i/>
          <w:iCs/>
          <w:color w:val="000000"/>
        </w:rPr>
        <w:t xml:space="preserve"> l</w:t>
      </w:r>
      <w:r w:rsidRPr="00951211">
        <w:rPr>
          <w:rFonts w:ascii="Times New Roman" w:hAnsi="Times New Roman" w:cs="Times New Roman"/>
          <w:i/>
          <w:iCs/>
          <w:color w:val="000000"/>
        </w:rPr>
        <w:t>e Regioni hanno prodotto regole e norme eterogene</w:t>
      </w:r>
      <w:r>
        <w:rPr>
          <w:rFonts w:ascii="Times New Roman" w:hAnsi="Times New Roman" w:cs="Times New Roman"/>
          <w:i/>
          <w:iCs/>
          <w:color w:val="000000"/>
        </w:rPr>
        <w:t xml:space="preserve">e, che rischiano di </w:t>
      </w:r>
      <w:r w:rsidRPr="00951211">
        <w:rPr>
          <w:rFonts w:ascii="Times New Roman" w:hAnsi="Times New Roman" w:cs="Times New Roman"/>
          <w:i/>
          <w:iCs/>
          <w:color w:val="000000"/>
        </w:rPr>
        <w:t xml:space="preserve">trasformarsi in disordine e complessità </w:t>
      </w:r>
      <w:r>
        <w:rPr>
          <w:rFonts w:ascii="Times New Roman" w:hAnsi="Times New Roman" w:cs="Times New Roman"/>
          <w:i/>
          <w:iCs/>
          <w:color w:val="000000"/>
        </w:rPr>
        <w:t xml:space="preserve">se </w:t>
      </w:r>
      <w:r w:rsidRPr="00951211">
        <w:rPr>
          <w:rFonts w:ascii="Times New Roman" w:hAnsi="Times New Roman" w:cs="Times New Roman"/>
          <w:i/>
          <w:iCs/>
          <w:color w:val="000000"/>
        </w:rPr>
        <w:t xml:space="preserve">non </w:t>
      </w:r>
      <w:r>
        <w:rPr>
          <w:rFonts w:ascii="Times New Roman" w:hAnsi="Times New Roman" w:cs="Times New Roman"/>
          <w:i/>
          <w:iCs/>
          <w:color w:val="000000"/>
        </w:rPr>
        <w:t xml:space="preserve">si </w:t>
      </w:r>
      <w:r w:rsidRPr="00951211">
        <w:rPr>
          <w:rFonts w:ascii="Times New Roman" w:hAnsi="Times New Roman" w:cs="Times New Roman"/>
          <w:i/>
          <w:iCs/>
          <w:color w:val="000000"/>
        </w:rPr>
        <w:t>trovano risposte di policy univoche</w:t>
      </w:r>
      <w:r>
        <w:rPr>
          <w:rFonts w:ascii="Times New Roman" w:hAnsi="Times New Roman" w:cs="Times New Roman"/>
          <w:i/>
          <w:iCs/>
          <w:color w:val="000000"/>
        </w:rPr>
        <w:t>. Lo sforzo delle aziende nel superare la crisi è notevole, ma per un reale cambiamento è necessario che le singole risposte siano coordinate in una visione d’insieme più ampia</w:t>
      </w:r>
      <w:r w:rsidRPr="00951211">
        <w:rPr>
          <w:rFonts w:ascii="Times New Roman" w:hAnsi="Times New Roman" w:cs="Times New Roman"/>
          <w:i/>
          <w:iCs/>
          <w:color w:val="000000"/>
        </w:rPr>
        <w:t>”</w:t>
      </w:r>
      <w:r w:rsidRPr="00CF02D5">
        <w:rPr>
          <w:rFonts w:ascii="Times New Roman" w:hAnsi="Times New Roman" w:cs="Times New Roman"/>
          <w:color w:val="000000"/>
        </w:rPr>
        <w:t>.</w:t>
      </w:r>
      <w:r w:rsidRPr="00951211">
        <w:rPr>
          <w:rFonts w:ascii="Times New Roman" w:hAnsi="Times New Roman" w:cs="Times New Roman"/>
          <w:i/>
          <w:iCs/>
          <w:color w:val="000000"/>
        </w:rPr>
        <w:t xml:space="preserve"> </w:t>
      </w:r>
    </w:p>
    <w:p w14:paraId="13E2362C" w14:textId="0AE3CB26" w:rsidR="00060E7C" w:rsidRDefault="00110061" w:rsidP="00323FF7">
      <w:pPr>
        <w:jc w:val="both"/>
        <w:rPr>
          <w:rFonts w:ascii="Times New Roman" w:hAnsi="Times New Roman" w:cs="Times New Roman"/>
        </w:rPr>
      </w:pPr>
      <w:r w:rsidRPr="00CF02D5">
        <w:rPr>
          <w:rFonts w:ascii="Times New Roman" w:hAnsi="Times New Roman" w:cs="Times New Roman"/>
          <w:b/>
          <w:bCs/>
        </w:rPr>
        <w:t>Massimo Minaudo</w:t>
      </w:r>
      <w:r w:rsidRPr="00CF02D5">
        <w:rPr>
          <w:rFonts w:ascii="Times New Roman" w:hAnsi="Times New Roman" w:cs="Times New Roman"/>
        </w:rPr>
        <w:t>, Amministratore Delegato Essity Italia, aggiunge</w:t>
      </w:r>
      <w:r w:rsidRPr="00CF02D5">
        <w:rPr>
          <w:rFonts w:ascii="Times New Roman" w:hAnsi="Times New Roman" w:cs="Times New Roman"/>
          <w:i/>
          <w:iCs/>
        </w:rPr>
        <w:t xml:space="preserve">: “Come per tutti i settori di servizi alla persona, anche </w:t>
      </w:r>
      <w:r w:rsidR="00EF34F9">
        <w:rPr>
          <w:rFonts w:ascii="Times New Roman" w:hAnsi="Times New Roman" w:cs="Times New Roman"/>
          <w:i/>
          <w:iCs/>
        </w:rPr>
        <w:t>quello</w:t>
      </w:r>
      <w:r w:rsidR="00EF34F9" w:rsidRPr="00CF02D5">
        <w:rPr>
          <w:rFonts w:ascii="Times New Roman" w:hAnsi="Times New Roman" w:cs="Times New Roman"/>
          <w:i/>
          <w:iCs/>
        </w:rPr>
        <w:t xml:space="preserve"> </w:t>
      </w:r>
      <w:r w:rsidRPr="00CF02D5">
        <w:rPr>
          <w:rFonts w:ascii="Times New Roman" w:hAnsi="Times New Roman" w:cs="Times New Roman"/>
          <w:i/>
          <w:iCs/>
        </w:rPr>
        <w:t xml:space="preserve">Long Term Care non potrebbe esistere senza i professionisti che producono e promuovono l’assistenza e la qualità della cura. In un sistema che si basa fortemente su fiducia, competenze e qualità del lavoro, il Rapporto Osservatorio Long Term Care Cergas </w:t>
      </w:r>
      <w:r w:rsidR="00EF34F9">
        <w:rPr>
          <w:rFonts w:ascii="Times New Roman" w:hAnsi="Times New Roman" w:cs="Times New Roman"/>
          <w:i/>
          <w:iCs/>
        </w:rPr>
        <w:t xml:space="preserve"> SDA </w:t>
      </w:r>
      <w:r w:rsidRPr="00CF02D5">
        <w:rPr>
          <w:rFonts w:ascii="Times New Roman" w:hAnsi="Times New Roman" w:cs="Times New Roman"/>
          <w:i/>
          <w:iCs/>
        </w:rPr>
        <w:t>Bocconi - Essity ci permette di analizzare lo stato di salute del settore assistenziale, fornendoci indicazioni preziose sulle sue reali necessità. Il bisogno di unitarietà per superare la molteplice interpretazione degli standard normativi è certamente il dato più eloquente che dimostra come il settore Long Term Care necessiti di un’azione di coordinamento mirata, per rispondere in maniera sempre più efficacie alle esigenze dei soggetti non autosufficienti”</w:t>
      </w:r>
      <w:r w:rsidRPr="00CF02D5">
        <w:rPr>
          <w:rFonts w:ascii="Times New Roman" w:hAnsi="Times New Roman" w:cs="Times New Roman"/>
        </w:rPr>
        <w:t>.</w:t>
      </w:r>
    </w:p>
    <w:p w14:paraId="5FF51BD0" w14:textId="77777777" w:rsidR="00323FF7" w:rsidRPr="00CD14B4" w:rsidRDefault="00323FF7" w:rsidP="00323FF7">
      <w:pPr>
        <w:rPr>
          <w:rFonts w:ascii="Times New Roman" w:hAnsi="Times New Roman" w:cs="Times New Roman"/>
        </w:rPr>
      </w:pPr>
    </w:p>
    <w:p w14:paraId="44F344EC" w14:textId="5982C63E" w:rsidR="00BC7198" w:rsidRPr="00323FF7" w:rsidRDefault="00BC7198" w:rsidP="001E51C6">
      <w:pPr>
        <w:pStyle w:val="Preamble"/>
        <w:spacing w:after="0"/>
        <w:jc w:val="both"/>
        <w:rPr>
          <w:rFonts w:ascii="Times New Roman" w:hAnsi="Times New Roman" w:cs="Times New Roman"/>
          <w:color w:val="auto"/>
          <w:sz w:val="16"/>
          <w:szCs w:val="16"/>
        </w:rPr>
      </w:pPr>
      <w:bookmarkStart w:id="0" w:name="_Hlk94865272"/>
      <w:r w:rsidRPr="00323FF7">
        <w:rPr>
          <w:rFonts w:ascii="Times New Roman" w:hAnsi="Times New Roman" w:cs="Times New Roman"/>
          <w:color w:val="auto"/>
          <w:sz w:val="16"/>
          <w:szCs w:val="16"/>
        </w:rPr>
        <w:t xml:space="preserve">Essity </w:t>
      </w:r>
    </w:p>
    <w:p w14:paraId="066C2AA0" w14:textId="7A5260BC" w:rsidR="00F4674A" w:rsidRDefault="00F4674A" w:rsidP="00BC7198">
      <w:pPr>
        <w:jc w:val="both"/>
        <w:rPr>
          <w:rFonts w:ascii="Times New Roman" w:hAnsi="Times New Roman" w:cs="Times New Roman"/>
          <w:color w:val="000000"/>
          <w:spacing w:val="3"/>
          <w:sz w:val="16"/>
          <w:szCs w:val="16"/>
        </w:rPr>
      </w:pPr>
      <w:r w:rsidRPr="00F4674A">
        <w:rPr>
          <w:rFonts w:ascii="Times New Roman" w:hAnsi="Times New Roman" w:cs="Times New Roman"/>
          <w:color w:val="000000"/>
          <w:spacing w:val="3"/>
          <w:sz w:val="16"/>
          <w:szCs w:val="16"/>
        </w:rPr>
        <w:t>Essity è un’azienda leader globale nei settori dell’igiene e della salute. Siamo impegnati nel miglioramento della vita delle persone attraverso prodotti e servizi sempre più mirati al benessere dell’individuo. Commercializziamo i nostri prodotti in circa 150 paesi tramite brand leader a livello globale quali TENA e Tork, oltre ad altri brand affermati come Actimove, JOBST, Leukoplast, Libero, Libresse, Lotus, Nosotras, Saba, Tempo, TOM Organic, Vinda e Zewa.  Essity conta circa 46.000 dipendenti. Nel 2021 ha registrato un fatturato di circa 122 miliardi di SEK (12 miliardi di EUR). La società ha sede a Stoccolma, Svezia, ed è quotata al Nasdaq di Stoccolma. Essity si impegna nell’abbattere le barriere al benessere e intende contribuire ad una società più sana, sostenibile e circolare. Per maggiori informazioni visitare il sito: www.essity.com.</w:t>
      </w:r>
    </w:p>
    <w:bookmarkEnd w:id="0"/>
    <w:p w14:paraId="1842356A" w14:textId="77777777" w:rsidR="00CD14B4" w:rsidRPr="00323FF7" w:rsidRDefault="00CD14B4" w:rsidP="00CD14B4">
      <w:pPr>
        <w:pStyle w:val="Preamble"/>
        <w:spacing w:after="0"/>
        <w:jc w:val="both"/>
        <w:rPr>
          <w:rFonts w:ascii="Times New Roman" w:hAnsi="Times New Roman" w:cs="Times New Roman"/>
          <w:color w:val="auto"/>
          <w:sz w:val="16"/>
          <w:szCs w:val="16"/>
        </w:rPr>
      </w:pPr>
      <w:r w:rsidRPr="00323FF7">
        <w:rPr>
          <w:rFonts w:ascii="Times New Roman" w:hAnsi="Times New Roman" w:cs="Times New Roman"/>
          <w:color w:val="auto"/>
          <w:sz w:val="16"/>
          <w:szCs w:val="16"/>
        </w:rPr>
        <w:t>CERGAS SDA Bocconi, Osservatorio Long Term Care</w:t>
      </w:r>
    </w:p>
    <w:p w14:paraId="3F07F089" w14:textId="77777777" w:rsidR="00CD14B4" w:rsidRPr="00323FF7" w:rsidRDefault="00CD14B4" w:rsidP="00CD14B4">
      <w:pPr>
        <w:pStyle w:val="Preamble"/>
        <w:spacing w:after="0"/>
        <w:jc w:val="both"/>
        <w:rPr>
          <w:rFonts w:ascii="Times New Roman" w:hAnsi="Times New Roman" w:cs="Times New Roman"/>
          <w:bCs w:val="0"/>
          <w:sz w:val="16"/>
          <w:szCs w:val="16"/>
        </w:rPr>
      </w:pPr>
      <w:r w:rsidRPr="00323FF7">
        <w:rPr>
          <w:rFonts w:ascii="Times New Roman" w:hAnsi="Times New Roman" w:cs="Times New Roman"/>
          <w:b w:val="0"/>
          <w:bCs w:val="0"/>
          <w:color w:val="auto"/>
          <w:sz w:val="16"/>
          <w:szCs w:val="16"/>
        </w:rPr>
        <w:t>L’Osservatorio Long Term Care (OLTC) del CERGAS – SDA Bocconi, è stato creato nel 2018 con l’obiettivo di promuovere attività ricerca e opportunità di confronto e discussione rispetto allo stato attuale e sviluppo futuro del settore Long Term Care (LTC) in Italia, ovvero il settore dell’assistenza agli anziani non autosufficienti.</w:t>
      </w:r>
    </w:p>
    <w:p w14:paraId="69EB81EA" w14:textId="77777777" w:rsidR="00323FF7" w:rsidRDefault="00323FF7" w:rsidP="00CD14B4">
      <w:pPr>
        <w:jc w:val="both"/>
        <w:rPr>
          <w:rFonts w:ascii="Times New Roman" w:hAnsi="Times New Roman" w:cs="Times New Roman"/>
          <w:bCs/>
          <w:sz w:val="20"/>
          <w:szCs w:val="20"/>
        </w:rPr>
      </w:pPr>
    </w:p>
    <w:p w14:paraId="52837173" w14:textId="74C94F13" w:rsidR="00CD14B4" w:rsidRPr="00323FF7" w:rsidRDefault="00CD14B4" w:rsidP="00CD14B4">
      <w:pPr>
        <w:jc w:val="both"/>
        <w:rPr>
          <w:rFonts w:ascii="Times New Roman" w:hAnsi="Times New Roman" w:cs="Times New Roman"/>
          <w:bCs/>
          <w:sz w:val="20"/>
          <w:szCs w:val="20"/>
        </w:rPr>
      </w:pPr>
      <w:r w:rsidRPr="00323FF7">
        <w:rPr>
          <w:rFonts w:ascii="Times New Roman" w:hAnsi="Times New Roman" w:cs="Times New Roman"/>
          <w:bCs/>
          <w:sz w:val="20"/>
          <w:szCs w:val="20"/>
        </w:rPr>
        <w:tab/>
      </w:r>
    </w:p>
    <w:p w14:paraId="17A423AB" w14:textId="77777777" w:rsidR="00CD14B4" w:rsidRPr="00323FF7" w:rsidRDefault="00CD14B4" w:rsidP="001269E0">
      <w:pPr>
        <w:spacing w:after="0" w:line="240" w:lineRule="auto"/>
        <w:jc w:val="both"/>
        <w:rPr>
          <w:rFonts w:ascii="Times New Roman" w:hAnsi="Times New Roman" w:cs="Times New Roman"/>
          <w:bCs/>
          <w:sz w:val="20"/>
          <w:szCs w:val="20"/>
        </w:rPr>
      </w:pPr>
      <w:r w:rsidRPr="00323FF7">
        <w:rPr>
          <w:rFonts w:ascii="Times New Roman" w:hAnsi="Times New Roman" w:cs="Times New Roman"/>
          <w:b/>
          <w:sz w:val="20"/>
          <w:szCs w:val="20"/>
        </w:rPr>
        <w:t>Per ulteriori informazioni contattare</w:t>
      </w:r>
      <w:r w:rsidRPr="00323FF7">
        <w:rPr>
          <w:rFonts w:ascii="Times New Roman" w:hAnsi="Times New Roman" w:cs="Times New Roman"/>
          <w:bCs/>
          <w:sz w:val="20"/>
          <w:szCs w:val="20"/>
        </w:rPr>
        <w:t>:</w:t>
      </w:r>
    </w:p>
    <w:p w14:paraId="0EF91743" w14:textId="77777777" w:rsidR="00CD14B4" w:rsidRPr="00323FF7" w:rsidRDefault="00CD14B4" w:rsidP="001269E0">
      <w:pPr>
        <w:spacing w:after="0" w:line="240" w:lineRule="auto"/>
        <w:jc w:val="both"/>
        <w:rPr>
          <w:rFonts w:ascii="Times New Roman" w:hAnsi="Times New Roman" w:cs="Times New Roman"/>
          <w:bCs/>
          <w:sz w:val="20"/>
          <w:szCs w:val="20"/>
        </w:rPr>
      </w:pPr>
      <w:r w:rsidRPr="00323FF7">
        <w:rPr>
          <w:rFonts w:ascii="Times New Roman" w:hAnsi="Times New Roman" w:cs="Times New Roman"/>
          <w:bCs/>
          <w:sz w:val="20"/>
          <w:szCs w:val="20"/>
        </w:rPr>
        <w:t>Ufficio stampa Essity</w:t>
      </w:r>
    </w:p>
    <w:p w14:paraId="04FE2B67" w14:textId="225ED733" w:rsidR="00CD14B4" w:rsidRPr="00323FF7" w:rsidRDefault="00D94752" w:rsidP="001269E0">
      <w:pPr>
        <w:spacing w:after="0" w:line="240" w:lineRule="auto"/>
        <w:jc w:val="both"/>
        <w:rPr>
          <w:rFonts w:ascii="Times New Roman" w:hAnsi="Times New Roman" w:cs="Times New Roman"/>
          <w:bCs/>
          <w:sz w:val="20"/>
          <w:szCs w:val="20"/>
        </w:rPr>
      </w:pPr>
      <w:r w:rsidRPr="00323FF7">
        <w:rPr>
          <w:rFonts w:ascii="Times New Roman" w:hAnsi="Times New Roman" w:cs="Times New Roman"/>
          <w:bCs/>
          <w:sz w:val="20"/>
          <w:szCs w:val="20"/>
        </w:rPr>
        <w:t xml:space="preserve">Martina Antinucci, cell: 324 0221875, </w:t>
      </w:r>
      <w:hyperlink r:id="rId8" w:history="1">
        <w:r w:rsidR="00323FF7" w:rsidRPr="00323FF7">
          <w:rPr>
            <w:rStyle w:val="Collegamentoipertestuale"/>
            <w:rFonts w:ascii="Times New Roman" w:hAnsi="Times New Roman" w:cs="Times New Roman"/>
            <w:bCs/>
            <w:sz w:val="20"/>
            <w:szCs w:val="20"/>
          </w:rPr>
          <w:t>martina.antinucci@omnicomprgroup.com</w:t>
        </w:r>
      </w:hyperlink>
      <w:r w:rsidR="00323FF7" w:rsidRPr="00323FF7">
        <w:rPr>
          <w:rFonts w:ascii="Times New Roman" w:hAnsi="Times New Roman" w:cs="Times New Roman"/>
          <w:bCs/>
          <w:sz w:val="20"/>
          <w:szCs w:val="20"/>
        </w:rPr>
        <w:t xml:space="preserve"> </w:t>
      </w:r>
    </w:p>
    <w:p w14:paraId="25D3BB87" w14:textId="77777777" w:rsidR="00CD14B4" w:rsidRPr="00323FF7" w:rsidRDefault="00CD14B4" w:rsidP="001269E0">
      <w:pPr>
        <w:spacing w:after="0" w:line="240" w:lineRule="auto"/>
        <w:jc w:val="both"/>
        <w:rPr>
          <w:rFonts w:ascii="Times New Roman" w:hAnsi="Times New Roman" w:cs="Times New Roman"/>
          <w:bCs/>
          <w:sz w:val="20"/>
          <w:szCs w:val="20"/>
        </w:rPr>
      </w:pPr>
    </w:p>
    <w:p w14:paraId="46CDEADB" w14:textId="77777777" w:rsidR="00CD14B4" w:rsidRPr="00323FF7" w:rsidRDefault="00CD14B4" w:rsidP="001269E0">
      <w:pPr>
        <w:spacing w:after="0" w:line="240" w:lineRule="auto"/>
        <w:jc w:val="both"/>
        <w:rPr>
          <w:rFonts w:ascii="Times New Roman" w:hAnsi="Times New Roman" w:cs="Times New Roman"/>
          <w:bCs/>
          <w:sz w:val="20"/>
          <w:szCs w:val="20"/>
        </w:rPr>
      </w:pPr>
      <w:r w:rsidRPr="00323FF7">
        <w:rPr>
          <w:rFonts w:ascii="Times New Roman" w:hAnsi="Times New Roman" w:cs="Times New Roman"/>
          <w:bCs/>
          <w:sz w:val="20"/>
          <w:szCs w:val="20"/>
        </w:rPr>
        <w:t>Ufficio stampa Bocconi</w:t>
      </w:r>
    </w:p>
    <w:p w14:paraId="51D81F47" w14:textId="1DA6D285" w:rsidR="00C74C56" w:rsidRPr="00323FF7" w:rsidRDefault="00CD14B4" w:rsidP="00323FF7">
      <w:pPr>
        <w:spacing w:after="0" w:line="240" w:lineRule="auto"/>
        <w:jc w:val="both"/>
        <w:rPr>
          <w:rFonts w:ascii="Cambria" w:hAnsi="Cambria"/>
          <w:sz w:val="20"/>
          <w:szCs w:val="20"/>
        </w:rPr>
      </w:pPr>
      <w:r w:rsidRPr="00323FF7">
        <w:rPr>
          <w:rFonts w:ascii="Times New Roman" w:hAnsi="Times New Roman" w:cs="Times New Roman"/>
          <w:bCs/>
          <w:sz w:val="20"/>
          <w:szCs w:val="20"/>
        </w:rPr>
        <w:t xml:space="preserve">Susanna Della Vedova, 02-5836.2325 cell: 3351353566, </w:t>
      </w:r>
      <w:hyperlink r:id="rId9" w:history="1">
        <w:r w:rsidR="00323FF7" w:rsidRPr="00323FF7">
          <w:rPr>
            <w:rStyle w:val="Collegamentoipertestuale"/>
            <w:rFonts w:ascii="Times New Roman" w:hAnsi="Times New Roman" w:cs="Times New Roman"/>
            <w:bCs/>
            <w:sz w:val="20"/>
            <w:szCs w:val="20"/>
          </w:rPr>
          <w:t>susanna.dellavedova@unibocconi.it</w:t>
        </w:r>
      </w:hyperlink>
      <w:r w:rsidR="00323FF7" w:rsidRPr="00323FF7">
        <w:rPr>
          <w:rFonts w:ascii="Times New Roman" w:hAnsi="Times New Roman" w:cs="Times New Roman"/>
          <w:bCs/>
          <w:sz w:val="20"/>
          <w:szCs w:val="20"/>
        </w:rPr>
        <w:t xml:space="preserve"> </w:t>
      </w:r>
    </w:p>
    <w:sectPr w:rsidR="00C74C56" w:rsidRPr="00323FF7">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27188" w14:textId="77777777" w:rsidR="00BD5107" w:rsidRDefault="00BD5107" w:rsidP="00CC242D">
      <w:pPr>
        <w:spacing w:after="0" w:line="240" w:lineRule="auto"/>
      </w:pPr>
      <w:r>
        <w:separator/>
      </w:r>
    </w:p>
  </w:endnote>
  <w:endnote w:type="continuationSeparator" w:id="0">
    <w:p w14:paraId="09CCC5C7" w14:textId="77777777" w:rsidR="00BD5107" w:rsidRDefault="00BD5107" w:rsidP="00CC2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192F" w14:textId="77777777" w:rsidR="00EC4ED0" w:rsidRDefault="00EC4ED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E946" w14:textId="46F0AE66" w:rsidR="005D355B" w:rsidRDefault="005D355B">
    <w:pPr>
      <w:pStyle w:val="Pidipagina"/>
    </w:pPr>
    <w:r>
      <w:rPr>
        <w:noProof/>
      </w:rPr>
      <mc:AlternateContent>
        <mc:Choice Requires="wps">
          <w:drawing>
            <wp:anchor distT="0" distB="0" distL="114300" distR="114300" simplePos="0" relativeHeight="251659776" behindDoc="0" locked="0" layoutInCell="0" allowOverlap="1" wp14:anchorId="1A5F62A3" wp14:editId="386D8FC8">
              <wp:simplePos x="0" y="0"/>
              <wp:positionH relativeFrom="page">
                <wp:posOffset>0</wp:posOffset>
              </wp:positionH>
              <wp:positionV relativeFrom="page">
                <wp:posOffset>10227945</wp:posOffset>
              </wp:positionV>
              <wp:extent cx="7560310" cy="273050"/>
              <wp:effectExtent l="0" t="0" r="0" b="12700"/>
              <wp:wrapNone/>
              <wp:docPr id="2" name="MSIPCM89fa42dd9e7034dc27654d7b" descr="{&quot;HashCode&quot;:101161552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D629F" w14:textId="230B26B2" w:rsidR="005D355B" w:rsidRPr="005D355B" w:rsidRDefault="005D355B" w:rsidP="005D355B">
                          <w:pPr>
                            <w:spacing w:after="0"/>
                            <w:jc w:val="right"/>
                            <w:rPr>
                              <w:rFonts w:ascii="Calibri" w:hAnsi="Calibri" w:cs="Calibri"/>
                              <w:color w:val="000000"/>
                              <w:sz w:val="20"/>
                            </w:rPr>
                          </w:pPr>
                          <w:r w:rsidRPr="005D355B">
                            <w:rPr>
                              <w:rFonts w:ascii="Calibri" w:hAnsi="Calibri" w:cs="Calibri"/>
                              <w:color w:val="000000"/>
                              <w:sz w:val="20"/>
                            </w:rPr>
                            <w:t>Essity Internal</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1A5F62A3" id="_x0000_t202" coordsize="21600,21600" o:spt="202" path="m,l,21600r21600,l21600,xe">
              <v:stroke joinstyle="miter"/>
              <v:path gradientshapeok="t" o:connecttype="rect"/>
            </v:shapetype>
            <v:shape id="MSIPCM89fa42dd9e7034dc27654d7b" o:spid="_x0000_s1026" type="#_x0000_t202" alt="{&quot;HashCode&quot;:1011615521,&quot;Height&quot;:841.0,&quot;Width&quot;:595.0,&quot;Placement&quot;:&quot;Footer&quot;,&quot;Index&quot;:&quot;Primary&quot;,&quot;Section&quot;:1,&quot;Top&quot;:0.0,&quot;Left&quot;:0.0}" style="position:absolute;margin-left:0;margin-top:805.35pt;width:595.3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" o:allowincell="f" filled="f" stroked="f" strokeweight=".5pt">
              <v:textbox inset=",0,20pt,0">
                <w:txbxContent>
                  <w:p w14:paraId="69BD629F" w14:textId="230B26B2" w:rsidR="005D355B" w:rsidRPr="005D355B" w:rsidRDefault="005D355B" w:rsidP="005D355B">
                    <w:pPr>
                      <w:spacing w:after="0"/>
                      <w:jc w:val="right"/>
                      <w:rPr>
                        <w:rFonts w:ascii="Calibri" w:hAnsi="Calibri" w:cs="Calibri"/>
                        <w:color w:val="000000"/>
                        <w:sz w:val="20"/>
                      </w:rPr>
                    </w:pPr>
                    <w:proofErr w:type="spellStart"/>
                    <w:r w:rsidRPr="005D355B">
                      <w:rPr>
                        <w:rFonts w:ascii="Calibri" w:hAnsi="Calibri" w:cs="Calibri"/>
                        <w:color w:val="000000"/>
                        <w:sz w:val="20"/>
                      </w:rPr>
                      <w:t>Essity</w:t>
                    </w:r>
                    <w:proofErr w:type="spellEnd"/>
                    <w:r w:rsidRPr="005D355B">
                      <w:rPr>
                        <w:rFonts w:ascii="Calibri" w:hAnsi="Calibri" w:cs="Calibri"/>
                        <w:color w:val="000000"/>
                        <w:sz w:val="20"/>
                      </w:rPr>
                      <w:t xml:space="preserve"> </w:t>
                    </w:r>
                    <w:proofErr w:type="spellStart"/>
                    <w:r w:rsidRPr="005D355B">
                      <w:rPr>
                        <w:rFonts w:ascii="Calibri" w:hAnsi="Calibri" w:cs="Calibri"/>
                        <w:color w:val="000000"/>
                        <w:sz w:val="20"/>
                      </w:rPr>
                      <w:t>Internal</w:t>
                    </w:r>
                    <w:proofErr w:type="spellEnd"/>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8F16" w14:textId="77777777" w:rsidR="00EC4ED0" w:rsidRDefault="00EC4ED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97FF9" w14:textId="77777777" w:rsidR="00BD5107" w:rsidRDefault="00BD5107" w:rsidP="00CC242D">
      <w:pPr>
        <w:spacing w:after="0" w:line="240" w:lineRule="auto"/>
      </w:pPr>
      <w:r>
        <w:separator/>
      </w:r>
    </w:p>
  </w:footnote>
  <w:footnote w:type="continuationSeparator" w:id="0">
    <w:p w14:paraId="26560C16" w14:textId="77777777" w:rsidR="00BD5107" w:rsidRDefault="00BD5107" w:rsidP="00CC2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65A0" w14:textId="77777777" w:rsidR="00EC4ED0" w:rsidRDefault="00EC4ED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DAF00" w14:textId="4429FA7E" w:rsidR="00CC242D" w:rsidRDefault="00BF5B41" w:rsidP="00BF5B41">
    <w:pPr>
      <w:pStyle w:val="Intestazione"/>
      <w:tabs>
        <w:tab w:val="clear" w:pos="4819"/>
        <w:tab w:val="clear" w:pos="9638"/>
        <w:tab w:val="left" w:pos="7600"/>
      </w:tabs>
    </w:pPr>
    <w:r w:rsidRPr="00EB7A95">
      <w:rPr>
        <w:noProof/>
      </w:rPr>
      <w:drawing>
        <wp:anchor distT="0" distB="0" distL="114300" distR="114300" simplePos="0" relativeHeight="251658752" behindDoc="0" locked="0" layoutInCell="1" allowOverlap="1" wp14:anchorId="7217D14D" wp14:editId="6ABF8EC3">
          <wp:simplePos x="0" y="0"/>
          <wp:positionH relativeFrom="margin">
            <wp:posOffset>4191000</wp:posOffset>
          </wp:positionH>
          <wp:positionV relativeFrom="paragraph">
            <wp:posOffset>5715</wp:posOffset>
          </wp:positionV>
          <wp:extent cx="2052000" cy="757188"/>
          <wp:effectExtent l="0" t="0" r="5715" b="5080"/>
          <wp:wrapSquare wrapText="bothSides"/>
          <wp:docPr id="8" name="Immagine 1" descr="logo IN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 descr="logo INTERNO.jpg"/>
                  <pic:cNvPicPr>
                    <a:picLocks noChangeAspect="1"/>
                  </pic:cNvPicPr>
                </pic:nvPicPr>
                <pic:blipFill rotWithShape="1">
                  <a:blip r:embed="rId1" cstate="print">
                    <a:extLst>
                      <a:ext uri="{28A0092B-C50C-407E-A947-70E740481C1C}">
                        <a14:useLocalDpi xmlns:a14="http://schemas.microsoft.com/office/drawing/2010/main" val="0"/>
                      </a:ext>
                    </a:extLst>
                  </a:blip>
                  <a:srcRect l="80315" t="27098" r="1886" b="-2667"/>
                  <a:stretch/>
                </pic:blipFill>
                <pic:spPr bwMode="auto">
                  <a:xfrm>
                    <a:off x="0" y="0"/>
                    <a:ext cx="2052000" cy="7571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42D">
      <w:rPr>
        <w:noProof/>
      </w:rPr>
      <w:drawing>
        <wp:inline distT="0" distB="0" distL="0" distR="0" wp14:anchorId="488A6CB5" wp14:editId="01792783">
          <wp:extent cx="1968500" cy="6921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ity.jpg"/>
                  <pic:cNvPicPr/>
                </pic:nvPicPr>
                <pic:blipFill rotWithShape="1">
                  <a:blip r:embed="rId2">
                    <a:extLst>
                      <a:ext uri="{28A0092B-C50C-407E-A947-70E740481C1C}">
                        <a14:useLocalDpi xmlns:a14="http://schemas.microsoft.com/office/drawing/2010/main" val="0"/>
                      </a:ext>
                    </a:extLst>
                  </a:blip>
                  <a:srcRect r="67812" b="1536"/>
                  <a:stretch/>
                </pic:blipFill>
                <pic:spPr bwMode="auto">
                  <a:xfrm>
                    <a:off x="0" y="0"/>
                    <a:ext cx="1969967" cy="692666"/>
                  </a:xfrm>
                  <a:prstGeom prst="rect">
                    <a:avLst/>
                  </a:prstGeom>
                  <a:ln>
                    <a:noFill/>
                  </a:ln>
                  <a:extLst>
                    <a:ext uri="{53640926-AAD7-44D8-BBD7-CCE9431645EC}">
                      <a14:shadowObscured xmlns:a14="http://schemas.microsoft.com/office/drawing/2010/main"/>
                    </a:ext>
                  </a:extLst>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93B0" w14:textId="77777777" w:rsidR="00EC4ED0" w:rsidRDefault="00EC4ED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7524B1"/>
    <w:multiLevelType w:val="hybridMultilevel"/>
    <w:tmpl w:val="979499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ED45A9D"/>
    <w:multiLevelType w:val="hybridMultilevel"/>
    <w:tmpl w:val="53B47CBC"/>
    <w:lvl w:ilvl="0" w:tplc="04100011">
      <w:start w:val="1"/>
      <w:numFmt w:val="decimal"/>
      <w:lvlText w:val="%1)"/>
      <w:lvlJc w:val="left"/>
      <w:pPr>
        <w:ind w:left="720" w:hanging="360"/>
      </w:pPr>
    </w:lvl>
    <w:lvl w:ilvl="1" w:tplc="BAEC7D9E">
      <w:start w:val="1"/>
      <w:numFmt w:val="lowerLetter"/>
      <w:lvlText w:val="%2."/>
      <w:lvlJc w:val="left"/>
      <w:pPr>
        <w:ind w:left="1440" w:hanging="360"/>
      </w:pPr>
      <w:rPr>
        <w:b w:val="0"/>
        <w:bCs w:val="0"/>
        <w:color w:val="000000"/>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143"/>
    <w:rsid w:val="00002509"/>
    <w:rsid w:val="0000314B"/>
    <w:rsid w:val="00013660"/>
    <w:rsid w:val="00053D53"/>
    <w:rsid w:val="00060E7C"/>
    <w:rsid w:val="00074A10"/>
    <w:rsid w:val="00074B41"/>
    <w:rsid w:val="000962D9"/>
    <w:rsid w:val="000B184E"/>
    <w:rsid w:val="000C12E1"/>
    <w:rsid w:val="000F1DEC"/>
    <w:rsid w:val="000F226D"/>
    <w:rsid w:val="00110061"/>
    <w:rsid w:val="001269E0"/>
    <w:rsid w:val="00164135"/>
    <w:rsid w:val="00173AAC"/>
    <w:rsid w:val="00191F62"/>
    <w:rsid w:val="001941B0"/>
    <w:rsid w:val="001E51C6"/>
    <w:rsid w:val="001E5C0F"/>
    <w:rsid w:val="001E7913"/>
    <w:rsid w:val="00204D36"/>
    <w:rsid w:val="00210143"/>
    <w:rsid w:val="00275FB4"/>
    <w:rsid w:val="002B10D4"/>
    <w:rsid w:val="002C2528"/>
    <w:rsid w:val="003054B3"/>
    <w:rsid w:val="003079D0"/>
    <w:rsid w:val="00323FF7"/>
    <w:rsid w:val="00325C89"/>
    <w:rsid w:val="00352977"/>
    <w:rsid w:val="003800F9"/>
    <w:rsid w:val="00382925"/>
    <w:rsid w:val="003B2812"/>
    <w:rsid w:val="003D39FB"/>
    <w:rsid w:val="003D4938"/>
    <w:rsid w:val="00407B31"/>
    <w:rsid w:val="00433A18"/>
    <w:rsid w:val="00434525"/>
    <w:rsid w:val="004566CC"/>
    <w:rsid w:val="004940AE"/>
    <w:rsid w:val="004B402F"/>
    <w:rsid w:val="004B458A"/>
    <w:rsid w:val="004B5BA1"/>
    <w:rsid w:val="004D4823"/>
    <w:rsid w:val="0052765F"/>
    <w:rsid w:val="00574A06"/>
    <w:rsid w:val="005B1781"/>
    <w:rsid w:val="005B60D9"/>
    <w:rsid w:val="005D0517"/>
    <w:rsid w:val="005D355B"/>
    <w:rsid w:val="005D7E71"/>
    <w:rsid w:val="006175E1"/>
    <w:rsid w:val="006229B5"/>
    <w:rsid w:val="00670737"/>
    <w:rsid w:val="0068470F"/>
    <w:rsid w:val="006D0E3D"/>
    <w:rsid w:val="006F62A9"/>
    <w:rsid w:val="00712BBE"/>
    <w:rsid w:val="00735399"/>
    <w:rsid w:val="0075634A"/>
    <w:rsid w:val="00784DD5"/>
    <w:rsid w:val="007857B7"/>
    <w:rsid w:val="007A7784"/>
    <w:rsid w:val="007B025E"/>
    <w:rsid w:val="007C5039"/>
    <w:rsid w:val="007E0B9C"/>
    <w:rsid w:val="007F7755"/>
    <w:rsid w:val="00813411"/>
    <w:rsid w:val="00821B55"/>
    <w:rsid w:val="00850664"/>
    <w:rsid w:val="00860796"/>
    <w:rsid w:val="00875726"/>
    <w:rsid w:val="008A7170"/>
    <w:rsid w:val="009021F3"/>
    <w:rsid w:val="00943D8C"/>
    <w:rsid w:val="009C7B57"/>
    <w:rsid w:val="00A12149"/>
    <w:rsid w:val="00A253C8"/>
    <w:rsid w:val="00A30BAA"/>
    <w:rsid w:val="00A45A69"/>
    <w:rsid w:val="00A45AD1"/>
    <w:rsid w:val="00A8530C"/>
    <w:rsid w:val="00AA0BC5"/>
    <w:rsid w:val="00AB5321"/>
    <w:rsid w:val="00AB7D2A"/>
    <w:rsid w:val="00B0086F"/>
    <w:rsid w:val="00B13328"/>
    <w:rsid w:val="00B24717"/>
    <w:rsid w:val="00B34A86"/>
    <w:rsid w:val="00B56A61"/>
    <w:rsid w:val="00B653E7"/>
    <w:rsid w:val="00B93698"/>
    <w:rsid w:val="00BB28E9"/>
    <w:rsid w:val="00BB7FF0"/>
    <w:rsid w:val="00BC7198"/>
    <w:rsid w:val="00BD5107"/>
    <w:rsid w:val="00BF5B41"/>
    <w:rsid w:val="00C55360"/>
    <w:rsid w:val="00C74C56"/>
    <w:rsid w:val="00C866F5"/>
    <w:rsid w:val="00CC242D"/>
    <w:rsid w:val="00CC556F"/>
    <w:rsid w:val="00CD14B4"/>
    <w:rsid w:val="00CD3C7D"/>
    <w:rsid w:val="00CE2DFF"/>
    <w:rsid w:val="00CF4782"/>
    <w:rsid w:val="00CF752D"/>
    <w:rsid w:val="00D00475"/>
    <w:rsid w:val="00D025FC"/>
    <w:rsid w:val="00D165E6"/>
    <w:rsid w:val="00D36A74"/>
    <w:rsid w:val="00D45243"/>
    <w:rsid w:val="00D72210"/>
    <w:rsid w:val="00D7369C"/>
    <w:rsid w:val="00D94752"/>
    <w:rsid w:val="00E003B4"/>
    <w:rsid w:val="00E71C20"/>
    <w:rsid w:val="00E91D50"/>
    <w:rsid w:val="00EC1164"/>
    <w:rsid w:val="00EC451A"/>
    <w:rsid w:val="00EC4ED0"/>
    <w:rsid w:val="00EF34F9"/>
    <w:rsid w:val="00F055D3"/>
    <w:rsid w:val="00F20D5D"/>
    <w:rsid w:val="00F33549"/>
    <w:rsid w:val="00F375EB"/>
    <w:rsid w:val="00F42C5B"/>
    <w:rsid w:val="00F4674A"/>
    <w:rsid w:val="00F703D0"/>
    <w:rsid w:val="00F95603"/>
    <w:rsid w:val="00FE72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40B460"/>
  <w15:chartTrackingRefBased/>
  <w15:docId w15:val="{631AFDB6-5DF8-4FD4-807E-51F166FA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857B7"/>
    <w:pPr>
      <w:ind w:left="720"/>
      <w:contextualSpacing/>
    </w:pPr>
  </w:style>
  <w:style w:type="paragraph" w:styleId="Intestazione">
    <w:name w:val="header"/>
    <w:basedOn w:val="Normale"/>
    <w:link w:val="IntestazioneCarattere"/>
    <w:uiPriority w:val="99"/>
    <w:unhideWhenUsed/>
    <w:rsid w:val="00CC242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C242D"/>
  </w:style>
  <w:style w:type="paragraph" w:styleId="Pidipagina">
    <w:name w:val="footer"/>
    <w:basedOn w:val="Normale"/>
    <w:link w:val="PidipaginaCarattere"/>
    <w:uiPriority w:val="99"/>
    <w:unhideWhenUsed/>
    <w:rsid w:val="00CC242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C242D"/>
  </w:style>
  <w:style w:type="character" w:styleId="Collegamentoipertestuale">
    <w:name w:val="Hyperlink"/>
    <w:basedOn w:val="Carpredefinitoparagrafo"/>
    <w:uiPriority w:val="99"/>
    <w:unhideWhenUsed/>
    <w:rsid w:val="00CD14B4"/>
    <w:rPr>
      <w:color w:val="0563C1" w:themeColor="hyperlink"/>
      <w:u w:val="single"/>
    </w:rPr>
  </w:style>
  <w:style w:type="paragraph" w:customStyle="1" w:styleId="Preamble">
    <w:name w:val="Preamble"/>
    <w:basedOn w:val="Normale"/>
    <w:uiPriority w:val="5"/>
    <w:rsid w:val="00CD14B4"/>
    <w:pPr>
      <w:spacing w:after="120" w:line="240" w:lineRule="auto"/>
    </w:pPr>
    <w:rPr>
      <w:rFonts w:ascii="Calibri" w:hAnsi="Calibri" w:cs="Calibri"/>
      <w:b/>
      <w:bCs/>
      <w:color w:val="44546A"/>
    </w:rPr>
  </w:style>
  <w:style w:type="character" w:styleId="Rimandocommento">
    <w:name w:val="annotation reference"/>
    <w:basedOn w:val="Carpredefinitoparagrafo"/>
    <w:uiPriority w:val="99"/>
    <w:semiHidden/>
    <w:unhideWhenUsed/>
    <w:rsid w:val="00A8530C"/>
    <w:rPr>
      <w:sz w:val="16"/>
      <w:szCs w:val="16"/>
    </w:rPr>
  </w:style>
  <w:style w:type="paragraph" w:styleId="Testocommento">
    <w:name w:val="annotation text"/>
    <w:basedOn w:val="Normale"/>
    <w:link w:val="TestocommentoCarattere"/>
    <w:uiPriority w:val="99"/>
    <w:semiHidden/>
    <w:unhideWhenUsed/>
    <w:rsid w:val="00A8530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8530C"/>
    <w:rPr>
      <w:sz w:val="20"/>
      <w:szCs w:val="20"/>
    </w:rPr>
  </w:style>
  <w:style w:type="paragraph" w:styleId="Soggettocommento">
    <w:name w:val="annotation subject"/>
    <w:basedOn w:val="Testocommento"/>
    <w:next w:val="Testocommento"/>
    <w:link w:val="SoggettocommentoCarattere"/>
    <w:uiPriority w:val="99"/>
    <w:semiHidden/>
    <w:unhideWhenUsed/>
    <w:rsid w:val="00A8530C"/>
    <w:rPr>
      <w:b/>
      <w:bCs/>
    </w:rPr>
  </w:style>
  <w:style w:type="character" w:customStyle="1" w:styleId="SoggettocommentoCarattere">
    <w:name w:val="Soggetto commento Carattere"/>
    <w:basedOn w:val="TestocommentoCarattere"/>
    <w:link w:val="Soggettocommento"/>
    <w:uiPriority w:val="99"/>
    <w:semiHidden/>
    <w:rsid w:val="00A8530C"/>
    <w:rPr>
      <w:b/>
      <w:bCs/>
      <w:sz w:val="20"/>
      <w:szCs w:val="20"/>
    </w:rPr>
  </w:style>
  <w:style w:type="paragraph" w:styleId="Testofumetto">
    <w:name w:val="Balloon Text"/>
    <w:basedOn w:val="Normale"/>
    <w:link w:val="TestofumettoCarattere"/>
    <w:uiPriority w:val="99"/>
    <w:semiHidden/>
    <w:unhideWhenUsed/>
    <w:rsid w:val="00C866F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866F5"/>
    <w:rPr>
      <w:rFonts w:ascii="Segoe UI" w:hAnsi="Segoe UI" w:cs="Segoe UI"/>
      <w:sz w:val="18"/>
      <w:szCs w:val="18"/>
    </w:rPr>
  </w:style>
  <w:style w:type="paragraph" w:styleId="Revisione">
    <w:name w:val="Revision"/>
    <w:hidden/>
    <w:uiPriority w:val="99"/>
    <w:semiHidden/>
    <w:rsid w:val="00074A10"/>
    <w:pPr>
      <w:spacing w:after="0" w:line="240" w:lineRule="auto"/>
    </w:pPr>
  </w:style>
  <w:style w:type="character" w:styleId="Menzionenonrisolta">
    <w:name w:val="Unresolved Mention"/>
    <w:basedOn w:val="Carpredefinitoparagrafo"/>
    <w:uiPriority w:val="99"/>
    <w:semiHidden/>
    <w:unhideWhenUsed/>
    <w:rsid w:val="00323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67660">
      <w:bodyDiv w:val="1"/>
      <w:marLeft w:val="0"/>
      <w:marRight w:val="0"/>
      <w:marTop w:val="0"/>
      <w:marBottom w:val="0"/>
      <w:divBdr>
        <w:top w:val="none" w:sz="0" w:space="0" w:color="auto"/>
        <w:left w:val="none" w:sz="0" w:space="0" w:color="auto"/>
        <w:bottom w:val="none" w:sz="0" w:space="0" w:color="auto"/>
        <w:right w:val="none" w:sz="0" w:space="0" w:color="auto"/>
      </w:divBdr>
    </w:div>
    <w:div w:id="827600401">
      <w:bodyDiv w:val="1"/>
      <w:marLeft w:val="0"/>
      <w:marRight w:val="0"/>
      <w:marTop w:val="0"/>
      <w:marBottom w:val="0"/>
      <w:divBdr>
        <w:top w:val="none" w:sz="0" w:space="0" w:color="auto"/>
        <w:left w:val="none" w:sz="0" w:space="0" w:color="auto"/>
        <w:bottom w:val="none" w:sz="0" w:space="0" w:color="auto"/>
        <w:right w:val="none" w:sz="0" w:space="0" w:color="auto"/>
      </w:divBdr>
    </w:div>
    <w:div w:id="121380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a.antinucci@omnicomprgroup.com"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susanna.dellavedova@unibocconi.it"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C0A39EC68AE264E87E79C15BCD0E801" ma:contentTypeVersion="18" ma:contentTypeDescription="Creare un nuovo documento." ma:contentTypeScope="" ma:versionID="13feb8d16bb24aad2462c28421452197">
  <xsd:schema xmlns:xsd="http://www.w3.org/2001/XMLSchema" xmlns:xs="http://www.w3.org/2001/XMLSchema" xmlns:p="http://schemas.microsoft.com/office/2006/metadata/properties" xmlns:ns2="dc6ffee2-e55d-4009-a95d-aa81f14b6c75" xmlns:ns3="aea4eae9-d0bd-45d3-9d0d-988923c969ff" xmlns:ns4="5c29dd71-7b6c-49fc-9433-a528f3baa65b" targetNamespace="http://schemas.microsoft.com/office/2006/metadata/properties" ma:root="true" ma:fieldsID="5ad05aee0e7f2df22865616956231802" ns2:_="" ns3:_="" ns4:_="">
    <xsd:import namespace="dc6ffee2-e55d-4009-a95d-aa81f14b6c75"/>
    <xsd:import namespace="aea4eae9-d0bd-45d3-9d0d-988923c969ff"/>
    <xsd:import namespace="5c29dd71-7b6c-49fc-9433-a528f3baa65b"/>
    <xsd:element name="properties">
      <xsd:complexType>
        <xsd:sequence>
          <xsd:element name="documentManagement">
            <xsd:complexType>
              <xsd:all>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ffee2-e55d-4009-a95d-aa81f14b6c75" elementFormDefault="qualified">
    <xsd:import namespace="http://schemas.microsoft.com/office/2006/documentManagement/types"/>
    <xsd:import namespace="http://schemas.microsoft.com/office/infopath/2007/PartnerControls"/>
    <xsd:element name="HideFromDelve" ma:index="8"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ea4eae9-d0bd-45d3-9d0d-988923c969f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Tag immagine" ma:readOnly="false" ma:fieldId="{5cf76f15-5ced-4ddc-b409-7134ff3c332f}" ma:taxonomyMulti="true" ma:sspId="082e87e1-ab12-4a6e-aa89-33ae313578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29dd71-7b6c-49fc-9433-a528f3baa65b"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element name="TaxCatchAll" ma:index="24" nillable="true" ma:displayName="Taxonomy Catch All Column" ma:hidden="true" ma:list="{f05b616e-679b-489c-a4cf-317eb87c9cbc}" ma:internalName="TaxCatchAll" ma:showField="CatchAllData" ma:web="5c29dd71-7b6c-49fc-9433-a528f3baa6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82e87e1-ab12-4a6e-aa89-33ae31357808"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35C492-C199-47FF-A08E-0219542F59CC}">
  <ds:schemaRefs>
    <ds:schemaRef ds:uri="http://schemas.openxmlformats.org/officeDocument/2006/bibliography"/>
  </ds:schemaRefs>
</ds:datastoreItem>
</file>

<file path=customXml/itemProps2.xml><?xml version="1.0" encoding="utf-8"?>
<ds:datastoreItem xmlns:ds="http://schemas.openxmlformats.org/officeDocument/2006/customXml" ds:itemID="{8C884C45-967A-4DC6-991D-32B18D536B86}"/>
</file>

<file path=customXml/itemProps3.xml><?xml version="1.0" encoding="utf-8"?>
<ds:datastoreItem xmlns:ds="http://schemas.openxmlformats.org/officeDocument/2006/customXml" ds:itemID="{965D59D4-81EF-4729-BB1F-143242EE370F}"/>
</file>

<file path=customXml/itemProps4.xml><?xml version="1.0" encoding="utf-8"?>
<ds:datastoreItem xmlns:ds="http://schemas.openxmlformats.org/officeDocument/2006/customXml" ds:itemID="{7855FB9E-0CAF-47F1-9B06-5E25F9200F40}"/>
</file>

<file path=docProps/app.xml><?xml version="1.0" encoding="utf-8"?>
<Properties xmlns="http://schemas.openxmlformats.org/officeDocument/2006/extended-properties" xmlns:vt="http://schemas.openxmlformats.org/officeDocument/2006/docPropsVTypes">
  <Template>Normal</Template>
  <TotalTime>5</TotalTime>
  <Pages>2</Pages>
  <Words>1222</Words>
  <Characters>6970</Characters>
  <Application>Microsoft Office Word</Application>
  <DocSecurity>0</DocSecurity>
  <Lines>58</Lines>
  <Paragraphs>16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Mauro (Omnicom PR Group)</dc:creator>
  <cp:keywords/>
  <dc:description/>
  <cp:lastModifiedBy>Martina Antinucci (Omnicom PR Group)</cp:lastModifiedBy>
  <cp:revision>3</cp:revision>
  <dcterms:created xsi:type="dcterms:W3CDTF">2023-02-07T15:46:00Z</dcterms:created>
  <dcterms:modified xsi:type="dcterms:W3CDTF">2023-02-14T16:03:00Z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8d6ef0-491d-4f17-aead-12ed260929f1_Enabled">
    <vt:lpwstr>true</vt:lpwstr>
  </property>
  <property fmtid="{D5CDD505-2E9C-101B-9397-08002B2CF9AE}" pid="3" name="MSIP_Label_4c8d6ef0-491d-4f17-aead-12ed260929f1_SetDate">
    <vt:lpwstr>2022-02-03T16:17:30Z</vt:lpwstr>
  </property>
  <property fmtid="{D5CDD505-2E9C-101B-9397-08002B2CF9AE}" pid="4" name="MSIP_Label_4c8d6ef0-491d-4f17-aead-12ed260929f1_Method">
    <vt:lpwstr>Standard</vt:lpwstr>
  </property>
  <property fmtid="{D5CDD505-2E9C-101B-9397-08002B2CF9AE}" pid="5" name="MSIP_Label_4c8d6ef0-491d-4f17-aead-12ed260929f1_Name">
    <vt:lpwstr>Internal</vt:lpwstr>
  </property>
  <property fmtid="{D5CDD505-2E9C-101B-9397-08002B2CF9AE}" pid="6" name="MSIP_Label_4c8d6ef0-491d-4f17-aead-12ed260929f1_SiteId">
    <vt:lpwstr>f101208c-39d3-4c8a-8cc7-ad896b25954f</vt:lpwstr>
  </property>
  <property fmtid="{D5CDD505-2E9C-101B-9397-08002B2CF9AE}" pid="7" name="MSIP_Label_4c8d6ef0-491d-4f17-aead-12ed260929f1_ActionId">
    <vt:lpwstr>5e5c7be8-905c-475d-8b22-f0c397466f78</vt:lpwstr>
  </property>
  <property fmtid="{D5CDD505-2E9C-101B-9397-08002B2CF9AE}" pid="8" name="MSIP_Label_4c8d6ef0-491d-4f17-aead-12ed260929f1_ContentBits">
    <vt:lpwstr>2</vt:lpwstr>
  </property>
</Properties>
</file>