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3E61" w14:textId="42C35B66" w:rsidR="00283822" w:rsidRDefault="0044159D" w:rsidP="0028382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59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5B962335" wp14:editId="29D18936">
            <wp:extent cx="1965325" cy="78486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5683" cy="7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0A0DB" w14:textId="7F891669" w:rsidR="00283822" w:rsidRDefault="00283822" w:rsidP="0028382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92DBFBE" w14:textId="77777777" w:rsidR="006A2E0A" w:rsidRDefault="006A2E0A" w:rsidP="0028382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7B692B9" w14:textId="77777777" w:rsidR="00642F1B" w:rsidRDefault="00000000" w:rsidP="00283822">
      <w:pPr>
        <w:spacing w:after="0" w:line="36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IL DDL SULLA RIFORMA DELL’ASSISTENZA AGLI ANZIANI NON AUTOSUFFICIENTI: UNA PRIMA VALUTAZIONE </w:t>
      </w:r>
    </w:p>
    <w:p w14:paraId="06042E6E" w14:textId="7B21B0C4" w:rsidR="00283822" w:rsidRDefault="00283822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8739C0" w14:textId="77777777" w:rsidR="006A2E0A" w:rsidRPr="006A2E0A" w:rsidRDefault="006A2E0A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AA2379" w14:textId="77777777" w:rsidR="00642F1B" w:rsidRDefault="00000000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10 ottobre 2022 - nel suo ultimo Consiglio dei Ministri - il Governo Draghi ha approvato il Disegno di Legge Delega sulla riforma dell’assistenza agli anziani non autosufficienti, prevista dal PNRR. Questa scheda ne esamina i contenuti suddividendoli in due aree tematiche: regolazione e governance del sistema e interventi destinati ad anziani e familiari</w:t>
      </w:r>
      <w:r>
        <w:rPr>
          <w:rStyle w:val="Richiamoallanotaapidipagin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FBDE3" w14:textId="6975EF06" w:rsidR="00642F1B" w:rsidRDefault="00642F1B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D09B37" w14:textId="77777777" w:rsidR="00283822" w:rsidRDefault="00283822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BD7797" w14:textId="77777777" w:rsidR="00642F1B" w:rsidRPr="00751586" w:rsidRDefault="00000000" w:rsidP="00283822">
      <w:pPr>
        <w:pStyle w:val="Paragrafoelenco"/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586">
        <w:rPr>
          <w:rFonts w:ascii="Times New Roman" w:hAnsi="Times New Roman" w:cs="Times New Roman"/>
          <w:b/>
          <w:bCs/>
          <w:sz w:val="28"/>
          <w:szCs w:val="28"/>
        </w:rPr>
        <w:t xml:space="preserve">Regolazione e governance </w:t>
      </w:r>
    </w:p>
    <w:p w14:paraId="5DA1DDDB" w14:textId="77777777" w:rsidR="00642F1B" w:rsidRDefault="00642F1B" w:rsidP="00283822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8FA18" w14:textId="77777777" w:rsidR="00642F1B" w:rsidRDefault="00000000" w:rsidP="008864DD">
      <w:pPr>
        <w:pStyle w:val="Paragrafoelenco"/>
        <w:numPr>
          <w:ilvl w:val="0"/>
          <w:numId w:val="1"/>
        </w:numPr>
        <w:tabs>
          <w:tab w:val="clear" w:pos="0"/>
          <w:tab w:val="num" w:pos="-36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introduce il </w:t>
      </w:r>
      <w:r>
        <w:rPr>
          <w:rFonts w:ascii="Times New Roman" w:hAnsi="Times New Roman" w:cs="Times New Roman"/>
          <w:i/>
          <w:iCs/>
          <w:sz w:val="24"/>
          <w:szCs w:val="24"/>
        </w:rPr>
        <w:t>Sistema Nazionale Anziani non Autosufficienti (SNAA),</w:t>
      </w:r>
      <w:r>
        <w:rPr>
          <w:rFonts w:ascii="Times New Roman" w:hAnsi="Times New Roman" w:cs="Times New Roman"/>
          <w:sz w:val="24"/>
          <w:szCs w:val="24"/>
        </w:rPr>
        <w:t xml:space="preserve"> che programma e </w:t>
      </w:r>
    </w:p>
    <w:p w14:paraId="2A2F34E6" w14:textId="7A95D005" w:rsidR="00642F1B" w:rsidRDefault="00000000" w:rsidP="008864D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monitora in modo integrato l’insieme dei servizi e degli interventi. In concreto, l’uso delle diverse risorse per la non autosufficienza sarà programmato congiuntamente dai vari soggetti responsabili, a ogni livello di </w:t>
      </w:r>
      <w:r w:rsidRPr="00283822">
        <w:rPr>
          <w:rFonts w:ascii="Times New Roman" w:hAnsi="Times New Roman" w:cs="Times New Roman"/>
          <w:sz w:val="24"/>
          <w:szCs w:val="24"/>
        </w:rPr>
        <w:t xml:space="preserve">governo: Stato, Regioni e territori. A livello centrale, il CIPA (Comitato interministeriale per le politiche in favore della popolazione anziana) </w:t>
      </w:r>
      <w:r w:rsidR="00283822" w:rsidRPr="00283822">
        <w:rPr>
          <w:rFonts w:ascii="Times New Roman" w:hAnsi="Times New Roman" w:cs="Times New Roman"/>
          <w:sz w:val="24"/>
          <w:szCs w:val="24"/>
        </w:rPr>
        <w:t>definisce</w:t>
      </w:r>
      <w:r w:rsidRPr="00283822">
        <w:rPr>
          <w:rFonts w:ascii="Times New Roman" w:hAnsi="Times New Roman" w:cs="Times New Roman"/>
          <w:sz w:val="24"/>
          <w:szCs w:val="24"/>
        </w:rPr>
        <w:t xml:space="preserve"> gli indirizzi generali </w:t>
      </w:r>
      <w:r w:rsidR="00283822" w:rsidRPr="00283822">
        <w:rPr>
          <w:rFonts w:ascii="Times New Roman" w:hAnsi="Times New Roman" w:cs="Times New Roman"/>
          <w:sz w:val="24"/>
          <w:szCs w:val="24"/>
        </w:rPr>
        <w:t>de</w:t>
      </w:r>
      <w:r w:rsidRPr="00283822">
        <w:rPr>
          <w:rFonts w:ascii="Times New Roman" w:hAnsi="Times New Roman" w:cs="Times New Roman"/>
          <w:sz w:val="24"/>
          <w:szCs w:val="24"/>
        </w:rPr>
        <w:t>llo SNAA.</w:t>
      </w:r>
    </w:p>
    <w:p w14:paraId="29254512" w14:textId="77777777" w:rsidR="00324BFF" w:rsidRDefault="00000000" w:rsidP="008864DD">
      <w:pPr>
        <w:pStyle w:val="western"/>
        <w:numPr>
          <w:ilvl w:val="0"/>
          <w:numId w:val="1"/>
        </w:numPr>
        <w:tabs>
          <w:tab w:val="clear" w:pos="0"/>
          <w:tab w:val="num" w:pos="-360"/>
        </w:tabs>
        <w:spacing w:beforeAutospacing="0" w:after="0" w:line="36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  <w:i/>
          <w:iCs/>
        </w:rPr>
        <w:t>riformano le valutazioni delle condizioni degli anziani</w:t>
      </w:r>
      <w:r>
        <w:rPr>
          <w:rFonts w:ascii="Times New Roman" w:hAnsi="Times New Roman" w:cs="Times New Roman"/>
        </w:rPr>
        <w:t>, che diventano due soltanto: una di</w:t>
      </w:r>
    </w:p>
    <w:p w14:paraId="44C38101" w14:textId="36948858" w:rsidR="00642F1B" w:rsidRPr="00324BFF" w:rsidRDefault="00000000" w:rsidP="008864DD">
      <w:pPr>
        <w:pStyle w:val="western"/>
        <w:spacing w:beforeAutospacing="0" w:after="0" w:line="360" w:lineRule="atLeast"/>
        <w:jc w:val="both"/>
        <w:rPr>
          <w:rFonts w:ascii="Times New Roman" w:hAnsi="Times New Roman" w:cs="Times New Roman"/>
        </w:rPr>
      </w:pPr>
      <w:r w:rsidRPr="00324BFF">
        <w:rPr>
          <w:rFonts w:ascii="Times New Roman" w:hAnsi="Times New Roman" w:cs="Times New Roman"/>
        </w:rPr>
        <w:t>responsabilità statale, che assorbe le diverse oggi esistenti a livello nazionale, e l’altra di competenza delle Regioni, che rimane invariata. Sono collegate: la seconda valutazione parte dai risultati della prima. Quella statale è realizzata con un nuovo e moderno strumento valutativo, finalizzato a cogliere</w:t>
      </w:r>
      <w:r w:rsidR="00324BFF">
        <w:rPr>
          <w:rFonts w:ascii="Times New Roman" w:hAnsi="Times New Roman" w:cs="Times New Roman"/>
        </w:rPr>
        <w:t xml:space="preserve"> meglio</w:t>
      </w:r>
      <w:r w:rsidRPr="00324BFF">
        <w:rPr>
          <w:rFonts w:ascii="Times New Roman" w:hAnsi="Times New Roman" w:cs="Times New Roman"/>
        </w:rPr>
        <w:t xml:space="preserve"> le esigenze degli interessati.</w:t>
      </w:r>
    </w:p>
    <w:p w14:paraId="1B38D004" w14:textId="77777777" w:rsidR="00642F1B" w:rsidRDefault="00000000" w:rsidP="008864DD">
      <w:pPr>
        <w:pStyle w:val="Paragrafoelenco"/>
        <w:numPr>
          <w:ilvl w:val="0"/>
          <w:numId w:val="1"/>
        </w:numPr>
        <w:tabs>
          <w:tab w:val="clear" w:pos="0"/>
          <w:tab w:val="num" w:pos="-360"/>
        </w:tabs>
        <w:spacing w:after="0" w:line="360" w:lineRule="atLea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Quelli indicati sopra paiono i punti chiave. Inoltre, sono previsti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586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rafforzamento degli Ambiti </w:t>
      </w:r>
    </w:p>
    <w:p w14:paraId="6D90FC52" w14:textId="77777777" w:rsidR="00642F1B" w:rsidRDefault="00000000" w:rsidP="008864D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Territoriali Sociali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1586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i/>
          <w:iCs/>
          <w:sz w:val="24"/>
          <w:szCs w:val="24"/>
        </w:rPr>
        <w:t>loro integrazione operativa con i Distretti Sociosanitari</w:t>
      </w:r>
      <w:r>
        <w:rPr>
          <w:rFonts w:ascii="Times New Roman" w:hAnsi="Times New Roman" w:cs="Times New Roman"/>
          <w:sz w:val="24"/>
          <w:szCs w:val="24"/>
        </w:rPr>
        <w:t xml:space="preserve">, riguardante i processi di lavoro e l’erogazione dei servizi. </w:t>
      </w:r>
    </w:p>
    <w:p w14:paraId="6E2CD1F1" w14:textId="77777777" w:rsidR="00642F1B" w:rsidRDefault="00642F1B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7F0A01" w14:textId="77777777" w:rsidR="00642F1B" w:rsidRDefault="00000000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definitiva, le indicazioni su regolazione e governance </w:t>
      </w:r>
      <w:r>
        <w:rPr>
          <w:rFonts w:ascii="Times New Roman" w:hAnsi="Times New Roman" w:cs="Times New Roman"/>
          <w:i/>
          <w:iCs/>
          <w:sz w:val="24"/>
          <w:szCs w:val="24"/>
        </w:rPr>
        <w:t>possono essere giudicate positivamente</w:t>
      </w:r>
      <w:r>
        <w:rPr>
          <w:rFonts w:ascii="Times New Roman" w:hAnsi="Times New Roman" w:cs="Times New Roman"/>
          <w:sz w:val="24"/>
          <w:szCs w:val="24"/>
        </w:rPr>
        <w:t xml:space="preserve"> perché paiono robuste e coerenti tra loro nel disegnare un welfare per la non autosufficienza unitario, integrato e semplificato. Creano, inoltre, le condizioni per favorire l’appropriatezza degli interventi.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Infine, promuovono il riconoscimento della specificità del settore, così da incrementarne la legittimazione istituzionale e la forza politica. </w:t>
      </w:r>
    </w:p>
    <w:p w14:paraId="18F354E2" w14:textId="1EBFD9AE" w:rsidR="006C7255" w:rsidRDefault="00000000" w:rsidP="006C7255">
      <w:pPr>
        <w:pStyle w:val="NormaleWeb"/>
        <w:spacing w:beforeAutospacing="0" w:after="0" w:line="360" w:lineRule="atLeast"/>
        <w:jc w:val="both"/>
      </w:pPr>
      <w:r>
        <w:t xml:space="preserve">Nonostante sia necessario apportare alcuni emendamenti migliorativi, dunque, </w:t>
      </w:r>
      <w:r>
        <w:rPr>
          <w:i/>
          <w:iCs/>
        </w:rPr>
        <w:t>il disegno strategico della governance sembra completo.</w:t>
      </w:r>
      <w:r>
        <w:t xml:space="preserve"> Il carattere innovativo di queste disposizioni, tuttavia, ne rende assai complessa la traduzione nella pratica. </w:t>
      </w:r>
      <w:r>
        <w:rPr>
          <w:i/>
          <w:iCs/>
        </w:rPr>
        <w:t>La loro “messa a terra” costituirà, dunque, l’operazione più difficile.</w:t>
      </w:r>
      <w:r>
        <w:t xml:space="preserve"> </w:t>
      </w:r>
    </w:p>
    <w:p w14:paraId="410EA128" w14:textId="77777777" w:rsidR="006C7255" w:rsidRPr="006C7255" w:rsidRDefault="006C7255" w:rsidP="006C7255">
      <w:pPr>
        <w:pStyle w:val="NormaleWeb"/>
        <w:spacing w:beforeAutospacing="0" w:after="0" w:line="360" w:lineRule="atLeast"/>
        <w:jc w:val="both"/>
      </w:pPr>
    </w:p>
    <w:p w14:paraId="14413A13" w14:textId="2F550270" w:rsidR="00C659B6" w:rsidRPr="00B800A7" w:rsidRDefault="00000000" w:rsidP="0028382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contributo del Patto 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642F1B" w14:paraId="49AEDFFC" w14:textId="77777777">
        <w:tc>
          <w:tcPr>
            <w:tcW w:w="9628" w:type="dxa"/>
          </w:tcPr>
          <w:p w14:paraId="7F03A3C6" w14:textId="77777777" w:rsidR="00642F1B" w:rsidRDefault="00000000" w:rsidP="002838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la riforma delle valutazioni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prevista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l’integrazione Ambito-Distretto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sono specifiche proposte del Patto (non formulate da nessun altro soggetto coinvolto nella predisposizione del DDL).</w:t>
            </w:r>
          </w:p>
        </w:tc>
      </w:tr>
    </w:tbl>
    <w:p w14:paraId="20DD173A" w14:textId="77777777" w:rsidR="00283822" w:rsidRDefault="00283822" w:rsidP="0028382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D17CA4" w14:textId="77777777" w:rsidR="00642F1B" w:rsidRDefault="00642F1B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A76629" w14:textId="77777777" w:rsidR="00642F1B" w:rsidRPr="00593C24" w:rsidRDefault="00000000" w:rsidP="00283822">
      <w:pPr>
        <w:pStyle w:val="Paragrafoelenco"/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C24">
        <w:rPr>
          <w:rFonts w:ascii="Times New Roman" w:hAnsi="Times New Roman" w:cs="Times New Roman"/>
          <w:b/>
          <w:bCs/>
          <w:sz w:val="28"/>
          <w:szCs w:val="28"/>
        </w:rPr>
        <w:t xml:space="preserve">Interventi </w:t>
      </w:r>
    </w:p>
    <w:p w14:paraId="2C0710C8" w14:textId="77777777" w:rsidR="00642F1B" w:rsidRPr="00593C24" w:rsidRDefault="00642F1B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E2AE95" w14:textId="6949572B" w:rsidR="00642F1B" w:rsidRDefault="00000000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C24">
        <w:rPr>
          <w:rFonts w:ascii="Times New Roman" w:hAnsi="Times New Roman" w:cs="Times New Roman"/>
          <w:sz w:val="24"/>
          <w:szCs w:val="24"/>
        </w:rPr>
        <w:t>Venendo agli interventi destinati ad anziani e famiglie, per alcuni il DDL delinea una chiara linea di riforma strategica, pur rimanendo necessari vari aggiustamenti, mentre per altri non è così.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504639" w14:textId="77777777" w:rsidR="00642F1B" w:rsidRDefault="00000000" w:rsidP="00283822">
      <w:pPr>
        <w:spacing w:after="0" w:line="36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Una linea di riforma strategica è delineata per: </w:t>
      </w:r>
    </w:p>
    <w:p w14:paraId="63A2C61B" w14:textId="77777777" w:rsidR="00642F1B" w:rsidRPr="00593C24" w:rsidRDefault="00000000" w:rsidP="00A673F3">
      <w:pPr>
        <w:pStyle w:val="Paragrafoelenco"/>
        <w:numPr>
          <w:ilvl w:val="0"/>
          <w:numId w:val="1"/>
        </w:numPr>
        <w:tabs>
          <w:tab w:val="clear" w:pos="0"/>
          <w:tab w:val="num" w:pos="-36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Servizi domiciliari:</w:t>
      </w:r>
      <w:r>
        <w:rPr>
          <w:rFonts w:ascii="Times New Roman" w:hAnsi="Times New Roman" w:cs="Times New Roman"/>
          <w:sz w:val="24"/>
          <w:szCs w:val="24"/>
        </w:rPr>
        <w:t xml:space="preserve"> s’introduce </w:t>
      </w:r>
      <w:r w:rsidRPr="00593C24">
        <w:rPr>
          <w:rFonts w:ascii="Times New Roman" w:hAnsi="Times New Roman" w:cs="Times New Roman"/>
          <w:sz w:val="24"/>
          <w:szCs w:val="24"/>
        </w:rPr>
        <w:t xml:space="preserve">l’ADISS (Assistenza domiciliare integrata sociosanitaria), </w:t>
      </w:r>
    </w:p>
    <w:p w14:paraId="7696EBFF" w14:textId="555BD84D" w:rsidR="00642F1B" w:rsidRDefault="00000000" w:rsidP="00A673F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C24">
        <w:rPr>
          <w:rFonts w:ascii="Times New Roman" w:hAnsi="Times New Roman" w:cs="Times New Roman"/>
          <w:sz w:val="24"/>
          <w:szCs w:val="24"/>
        </w:rPr>
        <w:t>con risposte unitarie</w:t>
      </w:r>
      <w:r w:rsidR="00593C24">
        <w:rPr>
          <w:rFonts w:ascii="Times New Roman" w:hAnsi="Times New Roman" w:cs="Times New Roman"/>
          <w:sz w:val="24"/>
          <w:szCs w:val="24"/>
        </w:rPr>
        <w:t xml:space="preserve"> -</w:t>
      </w:r>
      <w:r w:rsidRPr="00593C24">
        <w:rPr>
          <w:rFonts w:ascii="Times New Roman" w:hAnsi="Times New Roman" w:cs="Times New Roman"/>
          <w:sz w:val="24"/>
          <w:szCs w:val="24"/>
        </w:rPr>
        <w:t xml:space="preserve"> attraverso l’integrazione dei servizi di Asl e Comuni</w:t>
      </w:r>
      <w:r w:rsidR="00593C24">
        <w:rPr>
          <w:rFonts w:ascii="Times New Roman" w:hAnsi="Times New Roman" w:cs="Times New Roman"/>
          <w:sz w:val="24"/>
          <w:szCs w:val="24"/>
        </w:rPr>
        <w:t xml:space="preserve"> -</w:t>
      </w:r>
      <w:r w:rsidRPr="00593C24">
        <w:rPr>
          <w:rFonts w:ascii="Times New Roman" w:hAnsi="Times New Roman" w:cs="Times New Roman"/>
          <w:sz w:val="24"/>
          <w:szCs w:val="24"/>
        </w:rPr>
        <w:t xml:space="preserve"> e interventi di durata e intensità</w:t>
      </w:r>
      <w:r w:rsidRPr="00593C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commisurate alle esigenze dell’anziano</w:t>
      </w:r>
      <w:r w:rsidRPr="00593C24">
        <w:rPr>
          <w:rFonts w:ascii="Times New Roman" w:hAnsi="Times New Roman" w:cs="Times New Roman"/>
          <w:sz w:val="24"/>
          <w:szCs w:val="24"/>
        </w:rPr>
        <w:t>.</w:t>
      </w:r>
    </w:p>
    <w:p w14:paraId="16E88EF3" w14:textId="77777777" w:rsidR="00642F1B" w:rsidRDefault="00000000" w:rsidP="00A673F3">
      <w:pPr>
        <w:pStyle w:val="Paragrafoelenco"/>
        <w:numPr>
          <w:ilvl w:val="0"/>
          <w:numId w:val="1"/>
        </w:numPr>
        <w:tabs>
          <w:tab w:val="clear" w:pos="0"/>
          <w:tab w:val="num" w:pos="-36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Prestazione universale per la non autosufficienza</w:t>
      </w:r>
      <w:r>
        <w:rPr>
          <w:rFonts w:ascii="Times New Roman" w:hAnsi="Times New Roman" w:cs="Times New Roman"/>
          <w:sz w:val="24"/>
          <w:szCs w:val="24"/>
        </w:rPr>
        <w:t xml:space="preserve">: è alternativa all’indennità di </w:t>
      </w:r>
    </w:p>
    <w:p w14:paraId="72C0B6BF" w14:textId="77777777" w:rsidR="00642F1B" w:rsidRDefault="00000000" w:rsidP="00A673F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accompagnamento. Si prevede un ammontare graduato in base al fabbisogno assistenziale dell’anziano e la possibilità di scelta tra il contributo senza vincoli d’uso e la fruizione di servizi alla persona (badanti regolari o soggetti organizzati), in quest’ultimo caso ricevendo un importo superiore.</w:t>
      </w:r>
    </w:p>
    <w:p w14:paraId="662FBF9C" w14:textId="77777777" w:rsidR="00642F1B" w:rsidRDefault="00000000" w:rsidP="005E1A58">
      <w:pPr>
        <w:pStyle w:val="Paragrafoelenco"/>
        <w:numPr>
          <w:ilvl w:val="0"/>
          <w:numId w:val="1"/>
        </w:numPr>
        <w:tabs>
          <w:tab w:val="clear" w:pos="0"/>
          <w:tab w:val="num" w:pos="-36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Persone con disabilità che invecchiano:</w:t>
      </w:r>
      <w:r>
        <w:rPr>
          <w:rFonts w:ascii="Times New Roman" w:hAnsi="Times New Roman" w:cs="Times New Roman"/>
          <w:sz w:val="24"/>
          <w:szCs w:val="24"/>
        </w:rPr>
        <w:t xml:space="preserve"> si sancisce la tutela delle persone con disabilità </w:t>
      </w:r>
    </w:p>
    <w:p w14:paraId="50D6B82F" w14:textId="77777777" w:rsidR="00642F1B" w:rsidRDefault="00000000" w:rsidP="005E1A5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pregresse che diventano anziane, per assicurare la continuità del loro percorso assistenziale e il rispetto dei loro diritti.</w:t>
      </w:r>
    </w:p>
    <w:p w14:paraId="5864CE38" w14:textId="77777777" w:rsidR="00642F1B" w:rsidRDefault="00000000" w:rsidP="005E1A58">
      <w:pPr>
        <w:pStyle w:val="Paragrafoelenco"/>
        <w:numPr>
          <w:ilvl w:val="0"/>
          <w:numId w:val="1"/>
        </w:numPr>
        <w:tabs>
          <w:tab w:val="clear" w:pos="0"/>
          <w:tab w:val="num" w:pos="-36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Caregiver familiari:</w:t>
      </w:r>
      <w:r>
        <w:rPr>
          <w:rFonts w:ascii="Times New Roman" w:hAnsi="Times New Roman" w:cs="Times New Roman"/>
          <w:sz w:val="24"/>
          <w:szCs w:val="24"/>
        </w:rPr>
        <w:t xml:space="preserve"> è previsto un articolato insieme di azioni, tra cui: considerazione delle </w:t>
      </w:r>
    </w:p>
    <w:p w14:paraId="2E4830CF" w14:textId="77777777" w:rsidR="00642F1B" w:rsidRDefault="00000000" w:rsidP="005E1A5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loro condizioni nei vari momenti valutativi, revisione delle tutele previdenziali, assicurative e degli strumenti per l’inserimento lavorativo e promozione di forme integrate di sostegno.</w:t>
      </w:r>
    </w:p>
    <w:p w14:paraId="22852F58" w14:textId="77777777" w:rsidR="00642F1B" w:rsidRDefault="00642F1B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761B02" w14:textId="7B3F72DA" w:rsidR="00642F1B" w:rsidRDefault="00000000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sintesi, gli ultimi due punti disegnano un impianto solido di risposte a categorie che richiedono particolare attenzione. La prestazione universale prevede la riforma dell’indennità secondo i canoni europei: importo graduato in base al bisogno (equità) e alternativa soldi/servizi, con un incentivo per quest’ultima opzione (appropriatezza). Nella domiciliarità, oltre all’integrazione, è decisivo il riferimento alla durata adeguata laddove oggi, perlopiù, gli interventi coprono 2-3 mesi mentre la non autosufficienza si estende per anni. Tale riferimento, dunque, apre la strada ad una domiciliarità specifica per la non autosufficienza. </w:t>
      </w:r>
    </w:p>
    <w:p w14:paraId="4FF705F9" w14:textId="1437CF26" w:rsidR="00642F1B" w:rsidRDefault="00000000" w:rsidP="00283822">
      <w:pPr>
        <w:spacing w:after="0" w:line="36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Manca, invece, una linea di riforma strategica per: </w:t>
      </w:r>
    </w:p>
    <w:p w14:paraId="52AD1106" w14:textId="77777777" w:rsidR="00642F1B" w:rsidRPr="00545F3D" w:rsidRDefault="00000000" w:rsidP="00545F3D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F3D">
        <w:rPr>
          <w:rFonts w:ascii="Times New Roman" w:hAnsi="Times New Roman" w:cs="Times New Roman"/>
          <w:i/>
          <w:iCs/>
          <w:sz w:val="24"/>
          <w:szCs w:val="24"/>
        </w:rPr>
        <w:t xml:space="preserve">Servizi semiresidenziali: </w:t>
      </w:r>
      <w:r w:rsidRPr="00545F3D">
        <w:rPr>
          <w:rFonts w:ascii="Times New Roman" w:hAnsi="Times New Roman" w:cs="Times New Roman"/>
          <w:sz w:val="24"/>
          <w:szCs w:val="24"/>
        </w:rPr>
        <w:t>il testo è piuttosto vago.</w:t>
      </w:r>
      <w:r w:rsidRPr="00545F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72FEC7" w14:textId="77777777" w:rsidR="00642F1B" w:rsidRDefault="00000000" w:rsidP="00545F3D">
      <w:pPr>
        <w:pStyle w:val="Paragrafoelenco"/>
        <w:numPr>
          <w:ilvl w:val="0"/>
          <w:numId w:val="1"/>
        </w:numPr>
        <w:tabs>
          <w:tab w:val="clear" w:pos="0"/>
          <w:tab w:val="num" w:pos="-36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Servizi residenziali:</w:t>
      </w:r>
      <w:r>
        <w:rPr>
          <w:rFonts w:ascii="Times New Roman" w:hAnsi="Times New Roman" w:cs="Times New Roman"/>
          <w:sz w:val="24"/>
          <w:szCs w:val="24"/>
        </w:rPr>
        <w:t xml:space="preserve"> la previsione di un’intensità assistenziale adeguata in base al numero e </w:t>
      </w:r>
    </w:p>
    <w:p w14:paraId="5AA4EBD6" w14:textId="77777777" w:rsidR="00642F1B" w:rsidRDefault="00000000" w:rsidP="00545F3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esigenze degli anziani residenti e quella di opportuni requisiti strutturali che assicurino la qualità degli ambienti di vita sono condivisibili. Manca, però, l’impianto di un progetto d’insieme per la residenzialità in Italia. </w:t>
      </w:r>
    </w:p>
    <w:p w14:paraId="03F85EE4" w14:textId="00EE2F92" w:rsidR="00642F1B" w:rsidRDefault="00000000" w:rsidP="00545F3D">
      <w:pPr>
        <w:pStyle w:val="Paragrafoelenco"/>
        <w:numPr>
          <w:ilvl w:val="0"/>
          <w:numId w:val="1"/>
        </w:numPr>
        <w:tabs>
          <w:tab w:val="clear" w:pos="0"/>
          <w:tab w:val="num" w:pos="-36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Assistenti familiari</w:t>
      </w:r>
      <w:r>
        <w:rPr>
          <w:rFonts w:ascii="Times New Roman" w:hAnsi="Times New Roman" w:cs="Times New Roman"/>
          <w:sz w:val="24"/>
          <w:szCs w:val="24"/>
        </w:rPr>
        <w:t>: nonostante la positiva previsione della prestazione universale</w:t>
      </w:r>
      <w:r w:rsidR="00593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assente </w:t>
      </w:r>
    </w:p>
    <w:p w14:paraId="6A5D04C0" w14:textId="66C2803F" w:rsidR="00642F1B" w:rsidRDefault="00000000" w:rsidP="00545F3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complessivo</w:t>
      </w:r>
      <w:r w:rsidR="00593C24">
        <w:rPr>
          <w:rFonts w:ascii="Times New Roman" w:eastAsia="Times New Roman" w:hAnsi="Times New Roman" w:cs="Times New Roman"/>
          <w:sz w:val="24"/>
          <w:szCs w:val="24"/>
          <w:lang w:eastAsia="it-IT"/>
        </w:rPr>
        <w:t>. Questo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richiederebbe di considerare congiuntamente il sostegno alle famiglie coinvolte, le connessioni con la rete del welfare pubblico, la promozione di condizioni di lavoro regolari e quella delle competenze professionali.</w:t>
      </w:r>
    </w:p>
    <w:p w14:paraId="0D8C353C" w14:textId="77777777" w:rsidR="00642F1B" w:rsidRDefault="00000000" w:rsidP="00545F3D">
      <w:pPr>
        <w:pStyle w:val="Paragrafoelenco"/>
        <w:numPr>
          <w:ilvl w:val="0"/>
          <w:numId w:val="1"/>
        </w:numPr>
        <w:tabs>
          <w:tab w:val="clear" w:pos="0"/>
          <w:tab w:val="num" w:pos="-36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Soluzioni abitative di servizio</w:t>
      </w:r>
      <w:r>
        <w:rPr>
          <w:rFonts w:ascii="Times New Roman" w:hAnsi="Times New Roman" w:cs="Times New Roman"/>
          <w:sz w:val="24"/>
          <w:szCs w:val="24"/>
        </w:rPr>
        <w:t xml:space="preserve">: si tratta dell’insieme delle misure di supporto all’abitare degli </w:t>
      </w:r>
    </w:p>
    <w:p w14:paraId="56E2FF75" w14:textId="77777777" w:rsidR="00642F1B" w:rsidRDefault="00000000" w:rsidP="00545F3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anziani. Il testo attuale può rappresentare un punto di partenza per una trattazione più completa</w:t>
      </w:r>
      <w:r>
        <w:rPr>
          <w:rStyle w:val="Richiamoalla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F2257" w14:textId="77777777" w:rsidR="00642F1B" w:rsidRDefault="00642F1B" w:rsidP="00545F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854098" w14:textId="69BA0F7A" w:rsidR="00642F1B" w:rsidRDefault="00000000" w:rsidP="0028382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Complessivamente,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parte sui singoli interventi richiede ancora un rilevante lavoro.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termini strategici, le aree di debolezza principali riguardano le strutture residenziali e le assistenti familiari.  Per queste</w:t>
      </w:r>
      <w:r w:rsidR="0075158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così come per ogni altra indicazione sugli interventi</w:t>
      </w:r>
      <w:r w:rsidR="0075158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bisogna sottolineare </w:t>
      </w:r>
      <w:r w:rsidRPr="00593C24">
        <w:rPr>
          <w:rFonts w:ascii="Times New Roman" w:eastAsia="Times New Roman" w:hAnsi="Times New Roman" w:cs="Times New Roman"/>
          <w:sz w:val="24"/>
          <w:szCs w:val="24"/>
          <w:lang w:eastAsia="it-IT"/>
        </w:rPr>
        <w:t>un punto decisivo: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l’elaborazione dei contenuti e il reperimento delle risorse non sono questioni separabili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Nel campo della non autosufficienza, infatti, qualunque azione di miglioramento dell’offerta – che sia o meno già indicata - richiede nuovi finanziamenti, ma il DDL non li ha sinora previsti. Trovarli rappresenta una sfida chiave per l’immediato futuro.</w:t>
      </w:r>
    </w:p>
    <w:p w14:paraId="120BCAA8" w14:textId="77777777" w:rsidR="00642F1B" w:rsidRDefault="00642F1B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6A54CA" w14:textId="77777777" w:rsidR="00642F1B" w:rsidRDefault="00000000" w:rsidP="00283822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contributo del Patto 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642F1B" w14:paraId="5177AC44" w14:textId="77777777">
        <w:tc>
          <w:tcPr>
            <w:tcW w:w="9628" w:type="dxa"/>
          </w:tcPr>
          <w:p w14:paraId="2F43A758" w14:textId="77777777" w:rsidR="00642F1B" w:rsidRDefault="00000000" w:rsidP="002838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 specifiche proposte del Patto (non formulate da nessun altro soggetto coinvolto nella predisposizione del DDL): l’indicazione su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durata e intensità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domiciliarità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la prestazione universale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le tutele per le persone con disabilità che invecchiano; l’opportuna definizione di caregiver familiari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inserita</w:t>
            </w:r>
            <w:r>
              <w:rPr>
                <w:rStyle w:val="Richiamoallanotaapidipagina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la considerazione delle loro condizioni nei vari momenti valutativi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le indicazioni su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intensità assistenziale e requisiti strutturali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residenzialità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14:paraId="431A77FE" w14:textId="5CEC6EE2" w:rsidR="00751586" w:rsidRDefault="00751586" w:rsidP="00283822">
      <w:pPr>
        <w:spacing w:after="0"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7566B761" w14:textId="77777777" w:rsidR="001D65CE" w:rsidRPr="00545F3D" w:rsidRDefault="001D65CE" w:rsidP="00283822">
      <w:pPr>
        <w:spacing w:after="0"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3566C49B" w14:textId="4D516F54" w:rsidR="00642F1B" w:rsidRDefault="00000000" w:rsidP="002838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Nota di lettura</w:t>
      </w:r>
      <w:r>
        <w:rPr>
          <w:rFonts w:ascii="Times New Roman" w:hAnsi="Times New Roman" w:cs="Times New Roman"/>
          <w:sz w:val="24"/>
          <w:szCs w:val="24"/>
        </w:rPr>
        <w:t xml:space="preserve">: l’espressione </w:t>
      </w:r>
      <w:r>
        <w:rPr>
          <w:rFonts w:ascii="Times New Roman" w:hAnsi="Times New Roman" w:cs="Times New Roman"/>
          <w:i/>
          <w:iCs/>
          <w:sz w:val="24"/>
          <w:szCs w:val="24"/>
        </w:rPr>
        <w:t>“nell’ambito delle risorse disponibili”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F1508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suoi derivati</w:t>
      </w:r>
      <w:r w:rsidR="00F15082">
        <w:rPr>
          <w:rFonts w:ascii="Times New Roman" w:hAnsi="Times New Roman" w:cs="Times New Roman"/>
          <w:sz w:val="24"/>
          <w:szCs w:val="24"/>
        </w:rPr>
        <w:t xml:space="preserve"> (“razionalizzazione dell’offerta”, “efficientamento” e così via)</w:t>
      </w:r>
      <w:r>
        <w:rPr>
          <w:rFonts w:ascii="Times New Roman" w:hAnsi="Times New Roman" w:cs="Times New Roman"/>
          <w:sz w:val="24"/>
          <w:szCs w:val="24"/>
        </w:rPr>
        <w:t xml:space="preserve"> ricorr</w:t>
      </w:r>
      <w:r w:rsidR="00F15082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spesso nel DDL ma non ha</w:t>
      </w:r>
      <w:r w:rsidR="00F15082">
        <w:rPr>
          <w:rFonts w:ascii="Times New Roman" w:hAnsi="Times New Roman" w:cs="Times New Roman"/>
          <w:sz w:val="24"/>
          <w:szCs w:val="24"/>
        </w:rPr>
        <w:t>nno</w:t>
      </w:r>
      <w:r>
        <w:rPr>
          <w:rFonts w:ascii="Times New Roman" w:hAnsi="Times New Roman" w:cs="Times New Roman"/>
          <w:sz w:val="24"/>
          <w:szCs w:val="24"/>
        </w:rPr>
        <w:t xml:space="preserve"> alcun significato sostantivo. La Ragioneria Generale dello Stato ha chiesto di introdurl</w:t>
      </w:r>
      <w:r w:rsidR="00F150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perché è parso evidente che molte indicazioni del testo implicano incrementi di spesa. Dato che al momento non vi sono nuove risorse, la Ragioneria ha ritenuto opportuno inserire tali richiami.</w:t>
      </w:r>
    </w:p>
    <w:sectPr w:rsidR="00642F1B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0280" w14:textId="77777777" w:rsidR="008823ED" w:rsidRDefault="008823ED">
      <w:pPr>
        <w:spacing w:after="0" w:line="240" w:lineRule="auto"/>
      </w:pPr>
      <w:r>
        <w:separator/>
      </w:r>
    </w:p>
  </w:endnote>
  <w:endnote w:type="continuationSeparator" w:id="0">
    <w:p w14:paraId="0902C216" w14:textId="77777777" w:rsidR="008823ED" w:rsidRDefault="0088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43812"/>
      <w:docPartObj>
        <w:docPartGallery w:val="Page Numbers (Bottom of Page)"/>
        <w:docPartUnique/>
      </w:docPartObj>
    </w:sdtPr>
    <w:sdtContent>
      <w:p w14:paraId="390ECFC9" w14:textId="77777777" w:rsidR="00642F1B" w:rsidRDefault="00000000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084627E4" w14:textId="77777777" w:rsidR="00642F1B" w:rsidRDefault="00642F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2787" w14:textId="77777777" w:rsidR="008823ED" w:rsidRDefault="008823ED">
      <w:pPr>
        <w:rPr>
          <w:sz w:val="12"/>
        </w:rPr>
      </w:pPr>
      <w:r>
        <w:separator/>
      </w:r>
    </w:p>
  </w:footnote>
  <w:footnote w:type="continuationSeparator" w:id="0">
    <w:p w14:paraId="70DE198D" w14:textId="77777777" w:rsidR="008823ED" w:rsidRDefault="008823ED">
      <w:pPr>
        <w:rPr>
          <w:sz w:val="12"/>
        </w:rPr>
      </w:pPr>
      <w:r>
        <w:continuationSeparator/>
      </w:r>
    </w:p>
  </w:footnote>
  <w:footnote w:id="1">
    <w:p w14:paraId="19575C27" w14:textId="7DD31828" w:rsidR="00642F1B" w:rsidRDefault="001C4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>
        <w:rPr>
          <w:rStyle w:val="Caratterinotaapidipagin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Non tutti gli articoli del DDL si occupano dell’assistenza agli anziani non autosufficienti. Lo fanno i seguenti: art. 2 (dal comma 3); art. 4; art. 5; art. 8. Ad essi è dedicata la scheda. </w:t>
      </w:r>
    </w:p>
    <w:p w14:paraId="47770AC0" w14:textId="77777777" w:rsidR="00642F1B" w:rsidRDefault="00642F1B">
      <w:pPr>
        <w:pStyle w:val="Testonotaapidipagina"/>
      </w:pPr>
    </w:p>
  </w:footnote>
  <w:footnote w:id="2">
    <w:p w14:paraId="3CE445A3" w14:textId="092F76C3" w:rsidR="00642F1B" w:rsidRDefault="001C4CDD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rPr>
          <w:rStyle w:val="Caratterinotaapidipagina"/>
        </w:rPr>
        <w:t xml:space="preserve"> </w:t>
      </w:r>
      <w:r w:rsidRPr="00593C24">
        <w:rPr>
          <w:rFonts w:ascii="Times New Roman" w:hAnsi="Times New Roman" w:cs="Times New Roman"/>
        </w:rPr>
        <w:t>Questa è l’unica parte di nostro interesse collocata nella sezione del DDL dedicata all’invecchiamento attivo: art 3, comma 2, lettera a) punto 6.</w:t>
      </w:r>
    </w:p>
  </w:footnote>
  <w:footnote w:id="3">
    <w:p w14:paraId="1C50488C" w14:textId="64157514" w:rsidR="00642F1B" w:rsidRDefault="001C4CDD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rPr>
          <w:rStyle w:val="Caratterinotaapidipagina"/>
        </w:rPr>
        <w:t xml:space="preserve"> </w:t>
      </w:r>
      <w:r w:rsidR="0075158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Governo intendeva </w:t>
      </w:r>
      <w:r w:rsidR="00751586">
        <w:rPr>
          <w:rFonts w:ascii="Times New Roman" w:hAnsi="Times New Roman" w:cs="Times New Roman"/>
        </w:rPr>
        <w:t xml:space="preserve">inizialmente </w:t>
      </w:r>
      <w:r>
        <w:rPr>
          <w:rFonts w:ascii="Times New Roman" w:hAnsi="Times New Roman" w:cs="Times New Roman"/>
        </w:rPr>
        <w:t xml:space="preserve">considerare esclusivamente i </w:t>
      </w:r>
      <w:r>
        <w:rPr>
          <w:rFonts w:ascii="Times New Roman" w:hAnsi="Times New Roman" w:cs="Times New Roman"/>
          <w:i/>
          <w:iCs/>
        </w:rPr>
        <w:t xml:space="preserve">caregiver </w:t>
      </w:r>
      <w:r>
        <w:rPr>
          <w:rFonts w:ascii="Times New Roman" w:hAnsi="Times New Roman" w:cs="Times New Roman"/>
        </w:rPr>
        <w:t xml:space="preserve">familiari conviventi con l’anziano mentre la definizione proposta dal Patto </w:t>
      </w:r>
      <w:r w:rsidR="00751586">
        <w:rPr>
          <w:rFonts w:ascii="Times New Roman" w:hAnsi="Times New Roman" w:cs="Times New Roman"/>
        </w:rPr>
        <w:t xml:space="preserve">comprende </w:t>
      </w:r>
      <w:r>
        <w:rPr>
          <w:rFonts w:ascii="Times New Roman" w:hAnsi="Times New Roman" w:cs="Times New Roman"/>
        </w:rPr>
        <w:t xml:space="preserve">anche a quelli non conviventi.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C40"/>
    <w:multiLevelType w:val="hybridMultilevel"/>
    <w:tmpl w:val="CD3AE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2072A"/>
    <w:multiLevelType w:val="multilevel"/>
    <w:tmpl w:val="066CD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8B5351"/>
    <w:multiLevelType w:val="multilevel"/>
    <w:tmpl w:val="3FB429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154CC6"/>
    <w:multiLevelType w:val="multilevel"/>
    <w:tmpl w:val="1996FC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33415723">
    <w:abstractNumId w:val="2"/>
  </w:num>
  <w:num w:numId="2" w16cid:durableId="1758599763">
    <w:abstractNumId w:val="3"/>
  </w:num>
  <w:num w:numId="3" w16cid:durableId="1256816349">
    <w:abstractNumId w:val="1"/>
  </w:num>
  <w:num w:numId="4" w16cid:durableId="17033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1B"/>
    <w:rsid w:val="001C4CDD"/>
    <w:rsid w:val="001D65CE"/>
    <w:rsid w:val="00283822"/>
    <w:rsid w:val="00324BFF"/>
    <w:rsid w:val="004323CD"/>
    <w:rsid w:val="0044159D"/>
    <w:rsid w:val="00545F3D"/>
    <w:rsid w:val="00593C24"/>
    <w:rsid w:val="005E1A58"/>
    <w:rsid w:val="00642F1B"/>
    <w:rsid w:val="006A2E0A"/>
    <w:rsid w:val="006C7255"/>
    <w:rsid w:val="00751586"/>
    <w:rsid w:val="00801CC0"/>
    <w:rsid w:val="008823ED"/>
    <w:rsid w:val="008864DD"/>
    <w:rsid w:val="00A31D5A"/>
    <w:rsid w:val="00A4536B"/>
    <w:rsid w:val="00A673F3"/>
    <w:rsid w:val="00AD357B"/>
    <w:rsid w:val="00B800A7"/>
    <w:rsid w:val="00C659B6"/>
    <w:rsid w:val="00F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09E7"/>
  <w15:docId w15:val="{6130F502-6261-430F-9CFB-E850F538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5032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5032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9175D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9175D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22D6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5032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5032B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rsid w:val="00C448B6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75D"/>
    <w:pPr>
      <w:spacing w:after="0" w:line="240" w:lineRule="auto"/>
    </w:pPr>
    <w:rPr>
      <w:sz w:val="20"/>
      <w:szCs w:val="20"/>
    </w:rPr>
  </w:style>
  <w:style w:type="paragraph" w:customStyle="1" w:styleId="western">
    <w:name w:val="western"/>
    <w:basedOn w:val="Normale"/>
    <w:qFormat/>
    <w:rsid w:val="00FA316A"/>
    <w:pPr>
      <w:spacing w:beforeAutospacing="1" w:after="142" w:line="276" w:lineRule="auto"/>
    </w:pPr>
    <w:rPr>
      <w:rFonts w:ascii="Liberation Serif" w:eastAsia="Times New Roman" w:hAnsi="Liberation Serif" w:cs="Liberation Seri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D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1C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B1D1-E215-4D1E-959F-6B5B6CA6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Gori, Cristiano</dc:creator>
  <dc:description/>
  <cp:lastModifiedBy>Gori, Cristiano</cp:lastModifiedBy>
  <cp:revision>15</cp:revision>
  <cp:lastPrinted>2022-10-20T16:32:00Z</cp:lastPrinted>
  <dcterms:created xsi:type="dcterms:W3CDTF">2022-10-20T16:42:00Z</dcterms:created>
  <dcterms:modified xsi:type="dcterms:W3CDTF">2022-10-21T15:40:00Z</dcterms:modified>
  <dc:language>it-IT</dc:language>
</cp:coreProperties>
</file>