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D4" w:rsidRDefault="00D70CD4" w:rsidP="00A069B7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32"/>
          <w:szCs w:val="32"/>
        </w:rPr>
      </w:pPr>
      <w:bookmarkStart w:id="0" w:name="_GoBack"/>
      <w:bookmarkEnd w:id="0"/>
      <w:r>
        <w:rPr>
          <w:rFonts w:ascii="Cambria-Bold" w:hAnsi="Cambria-Bold" w:cs="Cambria-Bold"/>
          <w:b/>
          <w:bCs/>
          <w:sz w:val="32"/>
          <w:szCs w:val="32"/>
        </w:rPr>
        <w:t>CONVEGNO NAZIONALE</w:t>
      </w:r>
      <w:r w:rsidR="00A069B7">
        <w:rPr>
          <w:rFonts w:ascii="Cambria-Bold" w:hAnsi="Cambria-Bold" w:cs="Cambria-Bold"/>
          <w:b/>
          <w:bCs/>
          <w:sz w:val="32"/>
          <w:szCs w:val="32"/>
        </w:rPr>
        <w:t xml:space="preserve"> UNEBA</w:t>
      </w:r>
    </w:p>
    <w:p w:rsidR="00D70CD4" w:rsidRDefault="00D70CD4" w:rsidP="00A069B7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32"/>
          <w:szCs w:val="32"/>
        </w:rPr>
      </w:pPr>
      <w:r>
        <w:rPr>
          <w:rFonts w:ascii="Cambria-Bold" w:hAnsi="Cambria-Bold" w:cs="Cambria-Bold"/>
          <w:b/>
          <w:bCs/>
          <w:sz w:val="32"/>
          <w:szCs w:val="32"/>
        </w:rPr>
        <w:t>14-15 giugno 2022</w:t>
      </w:r>
    </w:p>
    <w:p w:rsidR="00D70CD4" w:rsidRDefault="00D70CD4" w:rsidP="00A069B7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32"/>
          <w:szCs w:val="32"/>
        </w:rPr>
      </w:pPr>
      <w:r>
        <w:rPr>
          <w:rFonts w:ascii="Cambria-Bold" w:hAnsi="Cambria-Bold" w:cs="Cambria-Bold"/>
          <w:b/>
          <w:bCs/>
          <w:sz w:val="32"/>
          <w:szCs w:val="32"/>
        </w:rPr>
        <w:t>Villa Cagnola – Varese</w:t>
      </w:r>
    </w:p>
    <w:p w:rsidR="00D70CD4" w:rsidRDefault="00D70CD4" w:rsidP="00D70CD4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32"/>
          <w:szCs w:val="32"/>
        </w:rPr>
      </w:pPr>
    </w:p>
    <w:p w:rsidR="00D70CD4" w:rsidRDefault="00D70CD4" w:rsidP="00D70CD4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32"/>
          <w:szCs w:val="32"/>
        </w:rPr>
      </w:pPr>
    </w:p>
    <w:p w:rsidR="00D70CD4" w:rsidRDefault="00D70CD4" w:rsidP="00D70CD4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ALZHEIMER: PRENDERSI CURA DELLA PERSONA, UNO SGUARDO</w:t>
      </w:r>
    </w:p>
    <w:p w:rsidR="00D70CD4" w:rsidRDefault="00D70CD4" w:rsidP="00D70CD4">
      <w:pPr>
        <w:jc w:val="both"/>
        <w:rPr>
          <w:sz w:val="28"/>
          <w:szCs w:val="28"/>
        </w:rPr>
      </w:pPr>
      <w:r>
        <w:rPr>
          <w:rFonts w:ascii="Cambria" w:hAnsi="Cambria" w:cs="Cambria"/>
          <w:sz w:val="32"/>
          <w:szCs w:val="32"/>
        </w:rPr>
        <w:t>TRA PRESENTE E FUTURO</w:t>
      </w:r>
    </w:p>
    <w:p w:rsidR="00D70CD4" w:rsidRDefault="00D70CD4" w:rsidP="00D70CD4">
      <w:pPr>
        <w:jc w:val="both"/>
        <w:rPr>
          <w:sz w:val="28"/>
          <w:szCs w:val="28"/>
        </w:rPr>
      </w:pPr>
    </w:p>
    <w:p w:rsidR="00D70CD4" w:rsidRDefault="00D70CD4" w:rsidP="00D70CD4">
      <w:pPr>
        <w:jc w:val="both"/>
        <w:rPr>
          <w:sz w:val="28"/>
          <w:szCs w:val="28"/>
        </w:rPr>
      </w:pPr>
      <w:r>
        <w:rPr>
          <w:sz w:val="28"/>
          <w:szCs w:val="28"/>
        </w:rPr>
        <w:t>Contributo alla tavola rotonda</w:t>
      </w:r>
      <w:r w:rsidR="00F62EC7">
        <w:rPr>
          <w:sz w:val="28"/>
          <w:szCs w:val="28"/>
        </w:rPr>
        <w:t xml:space="preserve"> del </w:t>
      </w:r>
      <w:r>
        <w:rPr>
          <w:sz w:val="28"/>
          <w:szCs w:val="28"/>
        </w:rPr>
        <w:t>Dr. Alessandro Pirola</w:t>
      </w:r>
    </w:p>
    <w:p w:rsidR="00D70CD4" w:rsidRDefault="00D70CD4" w:rsidP="00D70CD4">
      <w:pPr>
        <w:jc w:val="both"/>
        <w:rPr>
          <w:sz w:val="28"/>
          <w:szCs w:val="28"/>
        </w:rPr>
      </w:pPr>
      <w:r>
        <w:rPr>
          <w:sz w:val="28"/>
          <w:szCs w:val="28"/>
        </w:rPr>
        <w:t>Direttore Generale Fondazione Maddalena Grassi</w:t>
      </w:r>
    </w:p>
    <w:p w:rsidR="00A46494" w:rsidRDefault="00A46494" w:rsidP="00D70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Presidente Fondazione Adele Bonolis </w:t>
      </w:r>
      <w:proofErr w:type="spellStart"/>
      <w:r>
        <w:rPr>
          <w:sz w:val="28"/>
          <w:szCs w:val="28"/>
        </w:rPr>
        <w:t>As</w:t>
      </w:r>
      <w:r w:rsidR="009E42CD">
        <w:rPr>
          <w:sz w:val="28"/>
          <w:szCs w:val="28"/>
        </w:rPr>
        <w:t>.</w:t>
      </w:r>
      <w:r>
        <w:rPr>
          <w:sz w:val="28"/>
          <w:szCs w:val="28"/>
        </w:rPr>
        <w:t>Fra</w:t>
      </w:r>
      <w:proofErr w:type="spellEnd"/>
      <w:r w:rsidR="009E42CD">
        <w:rPr>
          <w:sz w:val="28"/>
          <w:szCs w:val="28"/>
        </w:rPr>
        <w:t>.</w:t>
      </w:r>
    </w:p>
    <w:p w:rsidR="00D70CD4" w:rsidRDefault="00D70CD4" w:rsidP="00D70CD4">
      <w:pPr>
        <w:jc w:val="both"/>
        <w:rPr>
          <w:sz w:val="28"/>
          <w:szCs w:val="28"/>
        </w:rPr>
      </w:pPr>
    </w:p>
    <w:p w:rsidR="00D70CD4" w:rsidRDefault="00D70CD4" w:rsidP="00D70CD4">
      <w:pPr>
        <w:jc w:val="both"/>
        <w:rPr>
          <w:sz w:val="28"/>
          <w:szCs w:val="28"/>
        </w:rPr>
      </w:pPr>
    </w:p>
    <w:p w:rsidR="00D70CD4" w:rsidRDefault="00D70CD4" w:rsidP="00B90C19">
      <w:pPr>
        <w:ind w:firstLine="708"/>
        <w:jc w:val="both"/>
        <w:rPr>
          <w:sz w:val="24"/>
          <w:szCs w:val="24"/>
        </w:rPr>
      </w:pPr>
      <w:r w:rsidRPr="00B108F2">
        <w:rPr>
          <w:sz w:val="24"/>
          <w:szCs w:val="24"/>
        </w:rPr>
        <w:t>La Fondazione Maddalena Grassi opera sul territorio Lombardo da trent’anni: tra i diversi servizi di cura eroga assistenza domiciliare a circa duemila</w:t>
      </w:r>
      <w:r w:rsidR="00A46494">
        <w:rPr>
          <w:sz w:val="24"/>
          <w:szCs w:val="24"/>
        </w:rPr>
        <w:t>cinquecento</w:t>
      </w:r>
      <w:r w:rsidR="009E42CD">
        <w:rPr>
          <w:sz w:val="24"/>
          <w:szCs w:val="24"/>
        </w:rPr>
        <w:t xml:space="preserve"> pazienti l’anno, ha operativa</w:t>
      </w:r>
      <w:r w:rsidRPr="00B108F2">
        <w:rPr>
          <w:sz w:val="24"/>
          <w:szCs w:val="24"/>
        </w:rPr>
        <w:t xml:space="preserve"> da vent’anni una residenza sanitaria per disabili gravi con </w:t>
      </w:r>
      <w:r w:rsidR="00A069B7" w:rsidRPr="00B108F2">
        <w:rPr>
          <w:sz w:val="24"/>
          <w:szCs w:val="24"/>
        </w:rPr>
        <w:t>un nucleo per stati vegetativi,</w:t>
      </w:r>
      <w:r w:rsidRPr="00B108F2">
        <w:rPr>
          <w:sz w:val="24"/>
          <w:szCs w:val="24"/>
        </w:rPr>
        <w:t xml:space="preserve"> conduce due comunità psichiatriche con ospiti di media intensità</w:t>
      </w:r>
      <w:r w:rsidR="00A46494">
        <w:rPr>
          <w:sz w:val="24"/>
          <w:szCs w:val="24"/>
        </w:rPr>
        <w:t>,</w:t>
      </w:r>
      <w:r w:rsidR="00A069B7" w:rsidRPr="00B108F2">
        <w:rPr>
          <w:sz w:val="24"/>
          <w:szCs w:val="24"/>
        </w:rPr>
        <w:t xml:space="preserve"> ha realizzato tre case di acc</w:t>
      </w:r>
      <w:r w:rsidR="00A46494">
        <w:rPr>
          <w:sz w:val="24"/>
          <w:szCs w:val="24"/>
        </w:rPr>
        <w:t xml:space="preserve">oglienza per malati </w:t>
      </w:r>
      <w:proofErr w:type="spellStart"/>
      <w:r w:rsidR="00A46494">
        <w:rPr>
          <w:sz w:val="24"/>
          <w:szCs w:val="24"/>
        </w:rPr>
        <w:t>hiv</w:t>
      </w:r>
      <w:proofErr w:type="spellEnd"/>
      <w:r w:rsidR="00A46494">
        <w:rPr>
          <w:sz w:val="24"/>
          <w:szCs w:val="24"/>
        </w:rPr>
        <w:t>, coopera da quindici anni a</w:t>
      </w:r>
      <w:r w:rsidR="00B90C19">
        <w:rPr>
          <w:sz w:val="24"/>
          <w:szCs w:val="24"/>
        </w:rPr>
        <w:t xml:space="preserve">lla conduzione di due </w:t>
      </w:r>
      <w:proofErr w:type="spellStart"/>
      <w:r w:rsidR="00B90C19">
        <w:rPr>
          <w:sz w:val="24"/>
          <w:szCs w:val="24"/>
        </w:rPr>
        <w:t>Hospices</w:t>
      </w:r>
      <w:proofErr w:type="spellEnd"/>
      <w:r w:rsidR="00B90C19">
        <w:rPr>
          <w:sz w:val="24"/>
          <w:szCs w:val="24"/>
        </w:rPr>
        <w:t xml:space="preserve"> presso ospedali Milanesi.</w:t>
      </w:r>
    </w:p>
    <w:p w:rsidR="00293818" w:rsidRPr="00B108F2" w:rsidRDefault="00293818" w:rsidP="00D70CD4">
      <w:pPr>
        <w:jc w:val="both"/>
        <w:rPr>
          <w:sz w:val="24"/>
          <w:szCs w:val="24"/>
        </w:rPr>
      </w:pPr>
    </w:p>
    <w:p w:rsidR="0044746F" w:rsidRDefault="00D70CD4" w:rsidP="00D70CD4">
      <w:pPr>
        <w:jc w:val="both"/>
        <w:rPr>
          <w:sz w:val="24"/>
          <w:szCs w:val="24"/>
        </w:rPr>
      </w:pPr>
      <w:r w:rsidRPr="00B108F2">
        <w:rPr>
          <w:sz w:val="24"/>
          <w:szCs w:val="24"/>
        </w:rPr>
        <w:t xml:space="preserve">I </w:t>
      </w:r>
      <w:r w:rsidR="00340D6C" w:rsidRPr="00B108F2">
        <w:rPr>
          <w:sz w:val="24"/>
          <w:szCs w:val="24"/>
        </w:rPr>
        <w:t>pazie</w:t>
      </w:r>
      <w:r w:rsidR="0044746F">
        <w:rPr>
          <w:sz w:val="24"/>
          <w:szCs w:val="24"/>
        </w:rPr>
        <w:t>nti</w:t>
      </w:r>
      <w:r w:rsidR="009E42CD">
        <w:rPr>
          <w:sz w:val="24"/>
          <w:szCs w:val="24"/>
        </w:rPr>
        <w:t xml:space="preserve"> domiciliari </w:t>
      </w:r>
      <w:r w:rsidR="00B90C19">
        <w:rPr>
          <w:sz w:val="24"/>
          <w:szCs w:val="24"/>
        </w:rPr>
        <w:t xml:space="preserve">in carico alla Fondazione </w:t>
      </w:r>
      <w:r w:rsidR="009E42CD">
        <w:rPr>
          <w:sz w:val="24"/>
          <w:szCs w:val="24"/>
        </w:rPr>
        <w:t>con le patologie oggi considerate</w:t>
      </w:r>
      <w:r w:rsidR="0044746F">
        <w:rPr>
          <w:sz w:val="24"/>
          <w:szCs w:val="24"/>
        </w:rPr>
        <w:t xml:space="preserve"> per anno nella città di Milano</w:t>
      </w:r>
    </w:p>
    <w:p w:rsidR="00B90C19" w:rsidRDefault="00B90C19" w:rsidP="00D70CD4">
      <w:pPr>
        <w:jc w:val="both"/>
        <w:rPr>
          <w:sz w:val="24"/>
          <w:szCs w:val="24"/>
        </w:rPr>
      </w:pPr>
    </w:p>
    <w:tbl>
      <w:tblPr>
        <w:tblStyle w:val="Grigliatabella"/>
        <w:tblW w:w="6711" w:type="dxa"/>
        <w:tblLook w:val="04A0" w:firstRow="1" w:lastRow="0" w:firstColumn="1" w:lastColumn="0" w:noHBand="0" w:noVBand="1"/>
      </w:tblPr>
      <w:tblGrid>
        <w:gridCol w:w="595"/>
        <w:gridCol w:w="2407"/>
        <w:gridCol w:w="823"/>
        <w:gridCol w:w="823"/>
        <w:gridCol w:w="2063"/>
      </w:tblGrid>
      <w:tr w:rsidR="00DA671E" w:rsidRPr="00DA671E" w:rsidTr="0044746F">
        <w:tc>
          <w:tcPr>
            <w:tcW w:w="3002" w:type="dxa"/>
            <w:gridSpan w:val="2"/>
          </w:tcPr>
          <w:p w:rsidR="00DA671E" w:rsidRPr="00DA671E" w:rsidRDefault="00DA671E" w:rsidP="00D70C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DA671E" w:rsidRPr="00DA671E" w:rsidRDefault="00DA671E" w:rsidP="00D70CD4">
            <w:pPr>
              <w:jc w:val="both"/>
              <w:rPr>
                <w:b/>
                <w:sz w:val="24"/>
                <w:szCs w:val="24"/>
              </w:rPr>
            </w:pPr>
            <w:r w:rsidRPr="00DA671E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DA671E" w:rsidRPr="00DA671E" w:rsidRDefault="00DA671E" w:rsidP="00D70CD4">
            <w:pPr>
              <w:jc w:val="both"/>
              <w:rPr>
                <w:b/>
                <w:sz w:val="24"/>
                <w:szCs w:val="24"/>
              </w:rPr>
            </w:pPr>
            <w:r w:rsidRPr="00DA671E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063" w:type="dxa"/>
          </w:tcPr>
          <w:p w:rsidR="00DA671E" w:rsidRPr="00DA671E" w:rsidRDefault="00DA671E" w:rsidP="00D70CD4">
            <w:pPr>
              <w:jc w:val="both"/>
              <w:rPr>
                <w:b/>
                <w:sz w:val="24"/>
                <w:szCs w:val="24"/>
              </w:rPr>
            </w:pPr>
            <w:r w:rsidRPr="00DA671E">
              <w:rPr>
                <w:b/>
                <w:sz w:val="24"/>
                <w:szCs w:val="24"/>
              </w:rPr>
              <w:t>2022 1° trimestre</w:t>
            </w:r>
          </w:p>
        </w:tc>
      </w:tr>
      <w:tr w:rsidR="00DA671E" w:rsidTr="0044746F">
        <w:tc>
          <w:tcPr>
            <w:tcW w:w="3002" w:type="dxa"/>
            <w:gridSpan w:val="2"/>
          </w:tcPr>
          <w:p w:rsidR="00DA671E" w:rsidRPr="00DA671E" w:rsidRDefault="00DA671E" w:rsidP="00D70CD4">
            <w:pPr>
              <w:jc w:val="both"/>
              <w:rPr>
                <w:b/>
                <w:sz w:val="24"/>
                <w:szCs w:val="24"/>
              </w:rPr>
            </w:pPr>
            <w:r w:rsidRPr="00DA671E">
              <w:rPr>
                <w:b/>
                <w:sz w:val="24"/>
                <w:szCs w:val="24"/>
              </w:rPr>
              <w:t>Pz. Alzheimer</w:t>
            </w:r>
          </w:p>
        </w:tc>
        <w:tc>
          <w:tcPr>
            <w:tcW w:w="823" w:type="dxa"/>
          </w:tcPr>
          <w:p w:rsidR="00DA671E" w:rsidRDefault="00DA671E" w:rsidP="00D70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23" w:type="dxa"/>
          </w:tcPr>
          <w:p w:rsidR="00DA671E" w:rsidRDefault="00DA671E" w:rsidP="00D70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63" w:type="dxa"/>
          </w:tcPr>
          <w:p w:rsidR="00DA671E" w:rsidRDefault="00DA671E" w:rsidP="00D70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A671E" w:rsidTr="0044746F">
        <w:trPr>
          <w:gridBefore w:val="1"/>
          <w:wBefore w:w="595" w:type="dxa"/>
        </w:trPr>
        <w:tc>
          <w:tcPr>
            <w:tcW w:w="2407" w:type="dxa"/>
          </w:tcPr>
          <w:p w:rsidR="00DA671E" w:rsidRPr="00DA671E" w:rsidRDefault="00DA671E" w:rsidP="00D70CD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A671E">
              <w:rPr>
                <w:sz w:val="24"/>
                <w:szCs w:val="24"/>
              </w:rPr>
              <w:t>dipendenza totale o severa</w:t>
            </w:r>
          </w:p>
        </w:tc>
        <w:tc>
          <w:tcPr>
            <w:tcW w:w="823" w:type="dxa"/>
          </w:tcPr>
          <w:p w:rsidR="00DA671E" w:rsidRDefault="00DA671E" w:rsidP="00D70C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A671E" w:rsidRDefault="00DA671E" w:rsidP="00D70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063" w:type="dxa"/>
          </w:tcPr>
          <w:p w:rsidR="00DA671E" w:rsidRDefault="00DA671E" w:rsidP="00D70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A671E" w:rsidTr="0044746F">
        <w:trPr>
          <w:gridBefore w:val="1"/>
          <w:wBefore w:w="595" w:type="dxa"/>
        </w:trPr>
        <w:tc>
          <w:tcPr>
            <w:tcW w:w="2407" w:type="dxa"/>
          </w:tcPr>
          <w:p w:rsidR="00DA671E" w:rsidRPr="00DA671E" w:rsidRDefault="00DA671E" w:rsidP="00D70CD4">
            <w:pPr>
              <w:jc w:val="both"/>
              <w:rPr>
                <w:sz w:val="24"/>
                <w:szCs w:val="24"/>
              </w:rPr>
            </w:pPr>
            <w:proofErr w:type="gramStart"/>
            <w:r w:rsidRPr="00DA671E">
              <w:rPr>
                <w:sz w:val="24"/>
                <w:szCs w:val="24"/>
              </w:rPr>
              <w:t>con</w:t>
            </w:r>
            <w:proofErr w:type="gramEnd"/>
            <w:r w:rsidRPr="00DA671E">
              <w:rPr>
                <w:sz w:val="24"/>
                <w:szCs w:val="24"/>
              </w:rPr>
              <w:t xml:space="preserve"> dipendenza lieve</w:t>
            </w:r>
          </w:p>
        </w:tc>
        <w:tc>
          <w:tcPr>
            <w:tcW w:w="823" w:type="dxa"/>
          </w:tcPr>
          <w:p w:rsidR="00DA671E" w:rsidRDefault="00DA671E" w:rsidP="00D70C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A671E" w:rsidRDefault="00DA671E" w:rsidP="00D70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DA671E" w:rsidRDefault="00DA671E" w:rsidP="00D70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671E" w:rsidTr="0044746F">
        <w:trPr>
          <w:gridBefore w:val="1"/>
          <w:wBefore w:w="595" w:type="dxa"/>
        </w:trPr>
        <w:tc>
          <w:tcPr>
            <w:tcW w:w="2407" w:type="dxa"/>
          </w:tcPr>
          <w:p w:rsidR="00DA671E" w:rsidRPr="00DA671E" w:rsidRDefault="00DA671E" w:rsidP="00D70CD4">
            <w:pPr>
              <w:jc w:val="both"/>
              <w:rPr>
                <w:sz w:val="24"/>
                <w:szCs w:val="24"/>
              </w:rPr>
            </w:pPr>
            <w:proofErr w:type="gramStart"/>
            <w:r w:rsidRPr="00DA671E">
              <w:rPr>
                <w:sz w:val="24"/>
                <w:szCs w:val="24"/>
              </w:rPr>
              <w:t>con</w:t>
            </w:r>
            <w:proofErr w:type="gramEnd"/>
            <w:r w:rsidRPr="00DA671E">
              <w:rPr>
                <w:sz w:val="24"/>
                <w:szCs w:val="24"/>
              </w:rPr>
              <w:t xml:space="preserve"> tracheo</w:t>
            </w:r>
            <w:r w:rsidR="009E42CD">
              <w:rPr>
                <w:sz w:val="24"/>
                <w:szCs w:val="24"/>
              </w:rPr>
              <w:t xml:space="preserve">tomia </w:t>
            </w:r>
          </w:p>
        </w:tc>
        <w:tc>
          <w:tcPr>
            <w:tcW w:w="823" w:type="dxa"/>
          </w:tcPr>
          <w:p w:rsidR="00DA671E" w:rsidRDefault="00DA671E" w:rsidP="00D70C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A671E" w:rsidRDefault="00DA671E" w:rsidP="00D70C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DA671E" w:rsidRDefault="00DA671E" w:rsidP="00D70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671E" w:rsidTr="0044746F">
        <w:tc>
          <w:tcPr>
            <w:tcW w:w="3002" w:type="dxa"/>
            <w:gridSpan w:val="2"/>
          </w:tcPr>
          <w:p w:rsidR="00DA671E" w:rsidRPr="00DA671E" w:rsidRDefault="00DA671E" w:rsidP="00D70CD4">
            <w:pPr>
              <w:jc w:val="both"/>
              <w:rPr>
                <w:b/>
                <w:sz w:val="24"/>
                <w:szCs w:val="24"/>
              </w:rPr>
            </w:pPr>
            <w:r w:rsidRPr="00DA671E">
              <w:rPr>
                <w:b/>
                <w:sz w:val="24"/>
                <w:szCs w:val="24"/>
              </w:rPr>
              <w:t>Demenza</w:t>
            </w:r>
          </w:p>
        </w:tc>
        <w:tc>
          <w:tcPr>
            <w:tcW w:w="823" w:type="dxa"/>
          </w:tcPr>
          <w:p w:rsidR="00DA671E" w:rsidRDefault="00DA671E" w:rsidP="00D70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23" w:type="dxa"/>
          </w:tcPr>
          <w:p w:rsidR="00DA671E" w:rsidRDefault="00DA671E" w:rsidP="00D70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063" w:type="dxa"/>
          </w:tcPr>
          <w:p w:rsidR="00DA671E" w:rsidRDefault="00DA671E" w:rsidP="00D70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4746F" w:rsidTr="0044746F">
        <w:trPr>
          <w:gridBefore w:val="1"/>
          <w:wBefore w:w="595" w:type="dxa"/>
        </w:trPr>
        <w:tc>
          <w:tcPr>
            <w:tcW w:w="2407" w:type="dxa"/>
          </w:tcPr>
          <w:p w:rsidR="0044746F" w:rsidRPr="0044746F" w:rsidRDefault="009E42CD" w:rsidP="00D70CD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dipendenza</w:t>
            </w:r>
            <w:proofErr w:type="gramEnd"/>
            <w:r>
              <w:rPr>
                <w:sz w:val="24"/>
                <w:szCs w:val="24"/>
              </w:rPr>
              <w:t xml:space="preserve"> mode</w:t>
            </w:r>
            <w:r w:rsidR="0044746F" w:rsidRPr="0044746F">
              <w:rPr>
                <w:sz w:val="24"/>
                <w:szCs w:val="24"/>
              </w:rPr>
              <w:t>sta o lieve</w:t>
            </w:r>
          </w:p>
        </w:tc>
        <w:tc>
          <w:tcPr>
            <w:tcW w:w="823" w:type="dxa"/>
          </w:tcPr>
          <w:p w:rsidR="0044746F" w:rsidRDefault="0044746F" w:rsidP="00D70C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44746F" w:rsidRDefault="0044746F" w:rsidP="00D70C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4746F" w:rsidRDefault="0044746F" w:rsidP="00D70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746F" w:rsidTr="0044746F">
        <w:trPr>
          <w:gridBefore w:val="1"/>
          <w:wBefore w:w="595" w:type="dxa"/>
        </w:trPr>
        <w:tc>
          <w:tcPr>
            <w:tcW w:w="2407" w:type="dxa"/>
          </w:tcPr>
          <w:p w:rsidR="0044746F" w:rsidRPr="0044746F" w:rsidRDefault="0044746F" w:rsidP="00D70CD4">
            <w:pPr>
              <w:jc w:val="both"/>
              <w:rPr>
                <w:sz w:val="24"/>
                <w:szCs w:val="24"/>
              </w:rPr>
            </w:pPr>
            <w:proofErr w:type="gramStart"/>
            <w:r w:rsidRPr="0044746F">
              <w:rPr>
                <w:sz w:val="24"/>
                <w:szCs w:val="24"/>
              </w:rPr>
              <w:t>dipendenza</w:t>
            </w:r>
            <w:proofErr w:type="gramEnd"/>
            <w:r w:rsidRPr="0044746F">
              <w:rPr>
                <w:sz w:val="24"/>
                <w:szCs w:val="24"/>
              </w:rPr>
              <w:t xml:space="preserve"> totale o severa</w:t>
            </w:r>
          </w:p>
        </w:tc>
        <w:tc>
          <w:tcPr>
            <w:tcW w:w="823" w:type="dxa"/>
          </w:tcPr>
          <w:p w:rsidR="0044746F" w:rsidRDefault="0044746F" w:rsidP="00D70C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44746F" w:rsidRDefault="0044746F" w:rsidP="00D70C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4746F" w:rsidRDefault="0044746F" w:rsidP="00D70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A671E" w:rsidTr="0044746F">
        <w:trPr>
          <w:gridBefore w:val="1"/>
          <w:wBefore w:w="595" w:type="dxa"/>
        </w:trPr>
        <w:tc>
          <w:tcPr>
            <w:tcW w:w="2407" w:type="dxa"/>
          </w:tcPr>
          <w:p w:rsidR="00DA671E" w:rsidRPr="0044746F" w:rsidRDefault="00DA671E" w:rsidP="00DA671E">
            <w:pPr>
              <w:jc w:val="both"/>
              <w:rPr>
                <w:sz w:val="24"/>
                <w:szCs w:val="24"/>
              </w:rPr>
            </w:pPr>
            <w:proofErr w:type="gramStart"/>
            <w:r w:rsidRPr="0044746F">
              <w:rPr>
                <w:sz w:val="24"/>
                <w:szCs w:val="24"/>
              </w:rPr>
              <w:t>con</w:t>
            </w:r>
            <w:proofErr w:type="gramEnd"/>
            <w:r w:rsidRPr="0044746F">
              <w:rPr>
                <w:sz w:val="24"/>
                <w:szCs w:val="24"/>
              </w:rPr>
              <w:t xml:space="preserve"> tracheo</w:t>
            </w:r>
            <w:r w:rsidR="009E42CD">
              <w:rPr>
                <w:sz w:val="24"/>
                <w:szCs w:val="24"/>
              </w:rPr>
              <w:t>tomia</w:t>
            </w:r>
          </w:p>
        </w:tc>
        <w:tc>
          <w:tcPr>
            <w:tcW w:w="823" w:type="dxa"/>
          </w:tcPr>
          <w:p w:rsidR="00DA671E" w:rsidRDefault="00DA671E" w:rsidP="00D70C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DA671E" w:rsidRDefault="00DA671E" w:rsidP="00D70C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DA671E" w:rsidRDefault="0044746F" w:rsidP="00D70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A671E" w:rsidRDefault="00DA671E" w:rsidP="00D70CD4">
      <w:pPr>
        <w:jc w:val="both"/>
        <w:rPr>
          <w:sz w:val="24"/>
          <w:szCs w:val="24"/>
        </w:rPr>
      </w:pPr>
    </w:p>
    <w:p w:rsidR="00DA671E" w:rsidRPr="00B108F2" w:rsidRDefault="00DA671E" w:rsidP="00D70CD4">
      <w:pPr>
        <w:jc w:val="both"/>
        <w:rPr>
          <w:sz w:val="24"/>
          <w:szCs w:val="24"/>
        </w:rPr>
      </w:pPr>
    </w:p>
    <w:p w:rsidR="00340D6C" w:rsidRPr="00B108F2" w:rsidRDefault="00340D6C" w:rsidP="00D70CD4">
      <w:pPr>
        <w:jc w:val="both"/>
        <w:rPr>
          <w:sz w:val="24"/>
          <w:szCs w:val="24"/>
        </w:rPr>
      </w:pPr>
      <w:r w:rsidRPr="00B108F2">
        <w:rPr>
          <w:sz w:val="24"/>
          <w:szCs w:val="24"/>
        </w:rPr>
        <w:t xml:space="preserve">Va osservato che problematiche simili a quelle di tali pazienti si incontrano nelle abitazioni in cui vivono pazienti con altre patologie neurologiche o con gravi deficit cognitivi a volte segnalati solo come </w:t>
      </w:r>
      <w:proofErr w:type="spellStart"/>
      <w:r w:rsidRPr="00B108F2">
        <w:rPr>
          <w:sz w:val="24"/>
          <w:szCs w:val="24"/>
        </w:rPr>
        <w:t>comorbillità</w:t>
      </w:r>
      <w:proofErr w:type="spellEnd"/>
      <w:r w:rsidR="00A46494">
        <w:rPr>
          <w:sz w:val="24"/>
          <w:szCs w:val="24"/>
        </w:rPr>
        <w:t>,</w:t>
      </w:r>
      <w:r w:rsidRPr="00B108F2">
        <w:rPr>
          <w:sz w:val="24"/>
          <w:szCs w:val="24"/>
        </w:rPr>
        <w:t xml:space="preserve"> ma in realtà di peso prevalente sul contesto di cura e vita famigliare.</w:t>
      </w:r>
    </w:p>
    <w:p w:rsidR="00340D6C" w:rsidRPr="00B108F2" w:rsidRDefault="00340D6C" w:rsidP="00D70CD4">
      <w:pPr>
        <w:jc w:val="both"/>
        <w:rPr>
          <w:sz w:val="24"/>
          <w:szCs w:val="24"/>
        </w:rPr>
      </w:pPr>
    </w:p>
    <w:p w:rsidR="00340D6C" w:rsidRPr="00B108F2" w:rsidRDefault="009E42CD" w:rsidP="00D7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Nella definizione della </w:t>
      </w:r>
      <w:r w:rsidR="00B90C19" w:rsidRPr="00B108F2">
        <w:rPr>
          <w:sz w:val="24"/>
          <w:szCs w:val="24"/>
        </w:rPr>
        <w:t>adeguata</w:t>
      </w:r>
      <w:r>
        <w:rPr>
          <w:sz w:val="24"/>
          <w:szCs w:val="24"/>
        </w:rPr>
        <w:t xml:space="preserve"> </w:t>
      </w:r>
      <w:r w:rsidR="00340D6C" w:rsidRPr="00B108F2">
        <w:rPr>
          <w:sz w:val="24"/>
          <w:szCs w:val="24"/>
        </w:rPr>
        <w:t xml:space="preserve">offerta di cura </w:t>
      </w:r>
      <w:r w:rsidR="00B90C19">
        <w:rPr>
          <w:sz w:val="24"/>
          <w:szCs w:val="24"/>
        </w:rPr>
        <w:t>per</w:t>
      </w:r>
      <w:r w:rsidR="00340D6C" w:rsidRPr="00B108F2">
        <w:rPr>
          <w:sz w:val="24"/>
          <w:szCs w:val="24"/>
        </w:rPr>
        <w:t xml:space="preserve"> tali pazienti si pone un problema di classificazione per gravità della sintomatologia e del peso </w:t>
      </w:r>
      <w:r w:rsidR="00AF61E6" w:rsidRPr="00B108F2">
        <w:rPr>
          <w:sz w:val="24"/>
          <w:szCs w:val="24"/>
        </w:rPr>
        <w:t xml:space="preserve">famigliare e </w:t>
      </w:r>
      <w:r w:rsidR="007506A1">
        <w:rPr>
          <w:sz w:val="24"/>
          <w:szCs w:val="24"/>
        </w:rPr>
        <w:t>sociale ingenerato unitamente al criterio della</w:t>
      </w:r>
      <w:r w:rsidR="00340D6C" w:rsidRPr="00B108F2">
        <w:rPr>
          <w:sz w:val="24"/>
          <w:szCs w:val="24"/>
        </w:rPr>
        <w:t xml:space="preserve"> patologia.</w:t>
      </w:r>
    </w:p>
    <w:p w:rsidR="00340D6C" w:rsidRPr="00B108F2" w:rsidRDefault="00340D6C" w:rsidP="00D70CD4">
      <w:pPr>
        <w:jc w:val="both"/>
        <w:rPr>
          <w:sz w:val="24"/>
          <w:szCs w:val="24"/>
        </w:rPr>
      </w:pPr>
    </w:p>
    <w:p w:rsidR="00A46494" w:rsidRDefault="00340D6C" w:rsidP="009E42CD">
      <w:pPr>
        <w:jc w:val="both"/>
        <w:rPr>
          <w:sz w:val="24"/>
          <w:szCs w:val="24"/>
        </w:rPr>
      </w:pPr>
      <w:r w:rsidRPr="00B108F2">
        <w:rPr>
          <w:sz w:val="24"/>
          <w:szCs w:val="24"/>
        </w:rPr>
        <w:lastRenderedPageBreak/>
        <w:t>A tale definizione concorre il contesto famigli</w:t>
      </w:r>
      <w:r w:rsidR="00A46494">
        <w:rPr>
          <w:sz w:val="24"/>
          <w:szCs w:val="24"/>
        </w:rPr>
        <w:t>are in cui un malato è inserito: tipologia del nucleo famigliare (numero c</w:t>
      </w:r>
      <w:r w:rsidR="007506A1">
        <w:rPr>
          <w:sz w:val="24"/>
          <w:szCs w:val="24"/>
        </w:rPr>
        <w:t>omponenti, età, occupazione),</w:t>
      </w:r>
      <w:r w:rsidR="00A46494">
        <w:rPr>
          <w:sz w:val="24"/>
          <w:szCs w:val="24"/>
        </w:rPr>
        <w:t xml:space="preserve"> configurazione dell’a</w:t>
      </w:r>
      <w:r w:rsidR="007506A1">
        <w:rPr>
          <w:sz w:val="24"/>
          <w:szCs w:val="24"/>
        </w:rPr>
        <w:t>bitazione (dimensioni,</w:t>
      </w:r>
      <w:r w:rsidR="00A46494">
        <w:rPr>
          <w:sz w:val="24"/>
          <w:szCs w:val="24"/>
        </w:rPr>
        <w:t xml:space="preserve"> accessibilità, </w:t>
      </w:r>
      <w:r w:rsidR="007506A1">
        <w:rPr>
          <w:sz w:val="24"/>
          <w:szCs w:val="24"/>
        </w:rPr>
        <w:t xml:space="preserve">fruibilità, </w:t>
      </w:r>
      <w:r w:rsidR="00A46494">
        <w:rPr>
          <w:sz w:val="24"/>
          <w:szCs w:val="24"/>
        </w:rPr>
        <w:t xml:space="preserve">collocazione urbanistica), esistenza di un care </w:t>
      </w:r>
      <w:proofErr w:type="spellStart"/>
      <w:r w:rsidR="00A46494">
        <w:rPr>
          <w:sz w:val="24"/>
          <w:szCs w:val="24"/>
        </w:rPr>
        <w:t>giver</w:t>
      </w:r>
      <w:proofErr w:type="spellEnd"/>
      <w:r w:rsidR="00A46494">
        <w:rPr>
          <w:sz w:val="24"/>
          <w:szCs w:val="24"/>
        </w:rPr>
        <w:t xml:space="preserve"> e suo grado d</w:t>
      </w:r>
      <w:r w:rsidR="007506A1">
        <w:rPr>
          <w:sz w:val="24"/>
          <w:szCs w:val="24"/>
        </w:rPr>
        <w:t xml:space="preserve">i implicazione, coordinamento con </w:t>
      </w:r>
      <w:r w:rsidR="00A46494">
        <w:rPr>
          <w:sz w:val="24"/>
          <w:szCs w:val="24"/>
        </w:rPr>
        <w:t>le reti di cura esistenti (</w:t>
      </w:r>
      <w:proofErr w:type="spellStart"/>
      <w:r w:rsidR="00A46494">
        <w:rPr>
          <w:sz w:val="24"/>
          <w:szCs w:val="24"/>
        </w:rPr>
        <w:t>Adi</w:t>
      </w:r>
      <w:proofErr w:type="spellEnd"/>
      <w:r w:rsidR="00A46494">
        <w:rPr>
          <w:sz w:val="24"/>
          <w:szCs w:val="24"/>
        </w:rPr>
        <w:t>, servizi sociali, medico di base, volontariato, ecc.).</w:t>
      </w:r>
      <w:r w:rsidRPr="00B108F2">
        <w:rPr>
          <w:sz w:val="24"/>
          <w:szCs w:val="24"/>
        </w:rPr>
        <w:t xml:space="preserve"> </w:t>
      </w:r>
    </w:p>
    <w:p w:rsidR="007506A1" w:rsidRDefault="007506A1" w:rsidP="009E42CD">
      <w:pPr>
        <w:jc w:val="both"/>
        <w:rPr>
          <w:sz w:val="24"/>
          <w:szCs w:val="24"/>
        </w:rPr>
      </w:pPr>
    </w:p>
    <w:p w:rsidR="00A71D50" w:rsidRDefault="007506A1" w:rsidP="009E42CD">
      <w:pPr>
        <w:jc w:val="both"/>
        <w:rPr>
          <w:sz w:val="24"/>
          <w:szCs w:val="24"/>
        </w:rPr>
      </w:pPr>
      <w:r>
        <w:rPr>
          <w:sz w:val="24"/>
          <w:szCs w:val="24"/>
        </w:rPr>
        <w:t>Osserviamo in via esemplificativa un indicatore decisivo</w:t>
      </w:r>
      <w:r w:rsidR="00A46494">
        <w:rPr>
          <w:sz w:val="24"/>
          <w:szCs w:val="24"/>
        </w:rPr>
        <w:t>: n</w:t>
      </w:r>
      <w:r w:rsidR="00A71D50" w:rsidRPr="00B108F2">
        <w:rPr>
          <w:sz w:val="24"/>
          <w:szCs w:val="24"/>
        </w:rPr>
        <w:t>el 2019 il 54%</w:t>
      </w:r>
      <w:r w:rsidR="00340D6C" w:rsidRPr="00B108F2">
        <w:rPr>
          <w:sz w:val="24"/>
          <w:szCs w:val="24"/>
        </w:rPr>
        <w:t xml:space="preserve"> dei nuclei famigliari iscritti all’anagrafe della città di Milano </w:t>
      </w:r>
      <w:r>
        <w:rPr>
          <w:sz w:val="24"/>
          <w:szCs w:val="24"/>
        </w:rPr>
        <w:t>era</w:t>
      </w:r>
      <w:r w:rsidR="00B55B36" w:rsidRPr="00B108F2">
        <w:rPr>
          <w:sz w:val="24"/>
          <w:szCs w:val="24"/>
        </w:rPr>
        <w:t xml:space="preserve"> composto da una sola persona </w:t>
      </w:r>
      <w:r w:rsidR="00A71D50" w:rsidRPr="00B108F2">
        <w:rPr>
          <w:sz w:val="24"/>
          <w:szCs w:val="24"/>
        </w:rPr>
        <w:t>(4</w:t>
      </w:r>
      <w:r>
        <w:rPr>
          <w:sz w:val="24"/>
          <w:szCs w:val="24"/>
        </w:rPr>
        <w:t xml:space="preserve">07.156 su un totale di 750.249); </w:t>
      </w:r>
      <w:r w:rsidR="00A46494">
        <w:rPr>
          <w:sz w:val="24"/>
          <w:szCs w:val="24"/>
        </w:rPr>
        <w:t>ciò determina la possibilità di erogare</w:t>
      </w:r>
      <w:r w:rsidR="00B55B36" w:rsidRPr="00B108F2">
        <w:rPr>
          <w:sz w:val="24"/>
          <w:szCs w:val="24"/>
        </w:rPr>
        <w:t xml:space="preserve"> assistenza </w:t>
      </w:r>
      <w:r w:rsidR="00A46494">
        <w:rPr>
          <w:sz w:val="24"/>
          <w:szCs w:val="24"/>
        </w:rPr>
        <w:t>domiciliare</w:t>
      </w:r>
      <w:r>
        <w:rPr>
          <w:sz w:val="24"/>
          <w:szCs w:val="24"/>
        </w:rPr>
        <w:t xml:space="preserve"> e l’efficacia delle cure erogate.</w:t>
      </w:r>
    </w:p>
    <w:p w:rsidR="00403ECA" w:rsidRPr="00B108F2" w:rsidRDefault="00403ECA" w:rsidP="00A71D50">
      <w:pPr>
        <w:rPr>
          <w:sz w:val="24"/>
          <w:szCs w:val="24"/>
        </w:rPr>
      </w:pPr>
    </w:p>
    <w:p w:rsidR="00403ECA" w:rsidRPr="00B108F2" w:rsidRDefault="00A71D50" w:rsidP="00A71D50">
      <w:pPr>
        <w:rPr>
          <w:sz w:val="24"/>
          <w:szCs w:val="24"/>
        </w:rPr>
      </w:pPr>
      <w:r w:rsidRPr="00B108F2">
        <w:rPr>
          <w:sz w:val="24"/>
          <w:szCs w:val="24"/>
        </w:rPr>
        <w:t xml:space="preserve">I nuclei di un'unica persona </w:t>
      </w:r>
      <w:r w:rsidR="00403ECA">
        <w:rPr>
          <w:sz w:val="24"/>
          <w:szCs w:val="24"/>
        </w:rPr>
        <w:t xml:space="preserve">nella città di Milano </w:t>
      </w:r>
      <w:r w:rsidRPr="00B108F2">
        <w:rPr>
          <w:sz w:val="24"/>
          <w:szCs w:val="24"/>
        </w:rPr>
        <w:t>sono articolati per le seguenti fasce d’età:</w:t>
      </w:r>
    </w:p>
    <w:tbl>
      <w:tblPr>
        <w:tblStyle w:val="Grigliatabella"/>
        <w:tblW w:w="6951" w:type="dxa"/>
        <w:tblInd w:w="988" w:type="dxa"/>
        <w:tblLook w:val="04A0" w:firstRow="1" w:lastRow="0" w:firstColumn="1" w:lastColumn="0" w:noHBand="0" w:noVBand="1"/>
      </w:tblPr>
      <w:tblGrid>
        <w:gridCol w:w="2923"/>
        <w:gridCol w:w="1056"/>
        <w:gridCol w:w="2972"/>
      </w:tblGrid>
      <w:tr w:rsidR="0044746F" w:rsidRPr="00403ECA" w:rsidTr="00403ECA">
        <w:trPr>
          <w:trHeight w:val="288"/>
        </w:trPr>
        <w:tc>
          <w:tcPr>
            <w:tcW w:w="2923" w:type="dxa"/>
          </w:tcPr>
          <w:p w:rsidR="0044746F" w:rsidRPr="00403ECA" w:rsidRDefault="00403ECA" w:rsidP="0044746F">
            <w:pPr>
              <w:rPr>
                <w:b/>
                <w:sz w:val="24"/>
                <w:szCs w:val="24"/>
              </w:rPr>
            </w:pPr>
            <w:r w:rsidRPr="00403ECA">
              <w:rPr>
                <w:b/>
                <w:sz w:val="24"/>
                <w:szCs w:val="24"/>
              </w:rPr>
              <w:t>Fascia età</w:t>
            </w:r>
          </w:p>
        </w:tc>
        <w:tc>
          <w:tcPr>
            <w:tcW w:w="1056" w:type="dxa"/>
          </w:tcPr>
          <w:p w:rsidR="0044746F" w:rsidRPr="00403ECA" w:rsidRDefault="00403ECA" w:rsidP="0044746F">
            <w:pPr>
              <w:rPr>
                <w:b/>
                <w:sz w:val="24"/>
                <w:szCs w:val="24"/>
              </w:rPr>
            </w:pPr>
            <w:r w:rsidRPr="00403EC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972" w:type="dxa"/>
          </w:tcPr>
          <w:p w:rsidR="0044746F" w:rsidRPr="00403ECA" w:rsidRDefault="00403ECA" w:rsidP="0044746F">
            <w:pPr>
              <w:rPr>
                <w:b/>
                <w:sz w:val="24"/>
                <w:szCs w:val="24"/>
              </w:rPr>
            </w:pPr>
            <w:r w:rsidRPr="00403ECA">
              <w:rPr>
                <w:b/>
                <w:sz w:val="24"/>
                <w:szCs w:val="24"/>
              </w:rPr>
              <w:t>Numero</w:t>
            </w:r>
          </w:p>
        </w:tc>
      </w:tr>
      <w:tr w:rsidR="00403ECA" w:rsidRPr="0044746F" w:rsidTr="00403ECA">
        <w:trPr>
          <w:trHeight w:val="288"/>
        </w:trPr>
        <w:tc>
          <w:tcPr>
            <w:tcW w:w="2923" w:type="dxa"/>
          </w:tcPr>
          <w:p w:rsidR="00403ECA" w:rsidRPr="0044746F" w:rsidRDefault="00403ECA" w:rsidP="00403EC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tra</w:t>
            </w:r>
            <w:proofErr w:type="gramEnd"/>
            <w:r>
              <w:rPr>
                <w:sz w:val="24"/>
                <w:szCs w:val="24"/>
              </w:rPr>
              <w:t xml:space="preserve"> i quaranta e i sessanta</w:t>
            </w:r>
          </w:p>
        </w:tc>
        <w:tc>
          <w:tcPr>
            <w:tcW w:w="1056" w:type="dxa"/>
          </w:tcPr>
          <w:p w:rsidR="00403ECA" w:rsidRPr="0044746F" w:rsidRDefault="00403ECA" w:rsidP="0040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31%</w:t>
            </w:r>
          </w:p>
        </w:tc>
        <w:tc>
          <w:tcPr>
            <w:tcW w:w="2972" w:type="dxa"/>
          </w:tcPr>
          <w:p w:rsidR="00403ECA" w:rsidRPr="0044746F" w:rsidRDefault="00403ECA" w:rsidP="00403ECA">
            <w:pPr>
              <w:rPr>
                <w:sz w:val="24"/>
                <w:szCs w:val="24"/>
              </w:rPr>
            </w:pPr>
            <w:r w:rsidRPr="0044746F">
              <w:rPr>
                <w:sz w:val="24"/>
                <w:szCs w:val="24"/>
              </w:rPr>
              <w:t>            126.200</w:t>
            </w:r>
          </w:p>
        </w:tc>
      </w:tr>
      <w:tr w:rsidR="00403ECA" w:rsidRPr="0044746F" w:rsidTr="00403ECA">
        <w:trPr>
          <w:trHeight w:val="297"/>
        </w:trPr>
        <w:tc>
          <w:tcPr>
            <w:tcW w:w="2923" w:type="dxa"/>
          </w:tcPr>
          <w:p w:rsidR="00403ECA" w:rsidRPr="0044746F" w:rsidRDefault="00403ECA" w:rsidP="00403EC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tra</w:t>
            </w:r>
            <w:proofErr w:type="gramEnd"/>
            <w:r>
              <w:rPr>
                <w:sz w:val="24"/>
                <w:szCs w:val="24"/>
              </w:rPr>
              <w:t xml:space="preserve"> i venti e i quaranta</w:t>
            </w:r>
            <w:r w:rsidRPr="004474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</w:tcPr>
          <w:p w:rsidR="00403ECA" w:rsidRPr="0044746F" w:rsidRDefault="00403ECA" w:rsidP="0040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  <w:tc>
          <w:tcPr>
            <w:tcW w:w="2972" w:type="dxa"/>
          </w:tcPr>
          <w:p w:rsidR="00403ECA" w:rsidRPr="0044746F" w:rsidRDefault="00403ECA" w:rsidP="00403ECA">
            <w:pPr>
              <w:rPr>
                <w:sz w:val="24"/>
                <w:szCs w:val="24"/>
              </w:rPr>
            </w:pPr>
            <w:r w:rsidRPr="0044746F">
              <w:rPr>
                <w:sz w:val="24"/>
                <w:szCs w:val="24"/>
              </w:rPr>
              <w:t>             93.600</w:t>
            </w:r>
          </w:p>
        </w:tc>
      </w:tr>
      <w:tr w:rsidR="00403ECA" w:rsidRPr="0044746F" w:rsidTr="00403ECA">
        <w:trPr>
          <w:trHeight w:val="288"/>
        </w:trPr>
        <w:tc>
          <w:tcPr>
            <w:tcW w:w="2923" w:type="dxa"/>
          </w:tcPr>
          <w:p w:rsidR="00403ECA" w:rsidRPr="0044746F" w:rsidRDefault="00403ECA" w:rsidP="00403EC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tra</w:t>
            </w:r>
            <w:proofErr w:type="gramEnd"/>
            <w:r>
              <w:rPr>
                <w:sz w:val="24"/>
                <w:szCs w:val="24"/>
              </w:rPr>
              <w:t xml:space="preserve"> i sessanta e gli ottanta</w:t>
            </w:r>
            <w:r w:rsidRPr="004474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</w:tcPr>
          <w:p w:rsidR="00403ECA" w:rsidRPr="0044746F" w:rsidRDefault="00403ECA" w:rsidP="0040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2972" w:type="dxa"/>
          </w:tcPr>
          <w:p w:rsidR="00403ECA" w:rsidRPr="0044746F" w:rsidRDefault="00403ECA" w:rsidP="00403ECA">
            <w:pPr>
              <w:rPr>
                <w:sz w:val="24"/>
                <w:szCs w:val="24"/>
              </w:rPr>
            </w:pPr>
            <w:r w:rsidRPr="0044746F">
              <w:rPr>
                <w:sz w:val="24"/>
                <w:szCs w:val="24"/>
              </w:rPr>
              <w:t>            81.400</w:t>
            </w:r>
          </w:p>
        </w:tc>
      </w:tr>
      <w:tr w:rsidR="00403ECA" w:rsidRPr="0044746F" w:rsidTr="00403ECA">
        <w:trPr>
          <w:trHeight w:val="288"/>
        </w:trPr>
        <w:tc>
          <w:tcPr>
            <w:tcW w:w="2923" w:type="dxa"/>
          </w:tcPr>
          <w:p w:rsidR="00403ECA" w:rsidRPr="0044746F" w:rsidRDefault="00403ECA" w:rsidP="00403ECA">
            <w:pPr>
              <w:rPr>
                <w:sz w:val="24"/>
                <w:szCs w:val="24"/>
              </w:rPr>
            </w:pPr>
            <w:proofErr w:type="gramStart"/>
            <w:r w:rsidRPr="0044746F">
              <w:rPr>
                <w:sz w:val="24"/>
                <w:szCs w:val="24"/>
              </w:rPr>
              <w:t>gli</w:t>
            </w:r>
            <w:proofErr w:type="gramEnd"/>
            <w:r>
              <w:rPr>
                <w:sz w:val="24"/>
                <w:szCs w:val="24"/>
              </w:rPr>
              <w:t xml:space="preserve"> under 20</w:t>
            </w:r>
            <w:r w:rsidRPr="004474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</w:tcPr>
          <w:p w:rsidR="00403ECA" w:rsidRPr="0044746F" w:rsidRDefault="00403ECA" w:rsidP="0040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  <w:tc>
          <w:tcPr>
            <w:tcW w:w="2972" w:type="dxa"/>
          </w:tcPr>
          <w:p w:rsidR="00403ECA" w:rsidRPr="0044746F" w:rsidRDefault="00403ECA" w:rsidP="0040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      </w:t>
            </w:r>
            <w:r w:rsidRPr="0044746F">
              <w:rPr>
                <w:sz w:val="24"/>
                <w:szCs w:val="24"/>
              </w:rPr>
              <w:t>69.200</w:t>
            </w:r>
          </w:p>
        </w:tc>
      </w:tr>
      <w:tr w:rsidR="00403ECA" w:rsidRPr="0044746F" w:rsidTr="00403ECA">
        <w:trPr>
          <w:trHeight w:val="288"/>
        </w:trPr>
        <w:tc>
          <w:tcPr>
            <w:tcW w:w="2923" w:type="dxa"/>
          </w:tcPr>
          <w:p w:rsidR="00403ECA" w:rsidRPr="0044746F" w:rsidRDefault="00403ECA" w:rsidP="00403EC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gli</w:t>
            </w:r>
            <w:proofErr w:type="gramEnd"/>
            <w:r>
              <w:rPr>
                <w:sz w:val="24"/>
                <w:szCs w:val="24"/>
              </w:rPr>
              <w:t xml:space="preserve"> over 80:</w:t>
            </w:r>
          </w:p>
        </w:tc>
        <w:tc>
          <w:tcPr>
            <w:tcW w:w="1056" w:type="dxa"/>
          </w:tcPr>
          <w:p w:rsidR="00403ECA" w:rsidRPr="0044746F" w:rsidRDefault="00403ECA" w:rsidP="0040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2972" w:type="dxa"/>
          </w:tcPr>
          <w:p w:rsidR="00403ECA" w:rsidRPr="0044746F" w:rsidRDefault="00403ECA" w:rsidP="00403ECA">
            <w:pPr>
              <w:rPr>
                <w:sz w:val="24"/>
                <w:szCs w:val="24"/>
              </w:rPr>
            </w:pPr>
            <w:r w:rsidRPr="0044746F">
              <w:rPr>
                <w:sz w:val="24"/>
                <w:szCs w:val="24"/>
              </w:rPr>
              <w:t>        </w:t>
            </w:r>
            <w:r>
              <w:rPr>
                <w:sz w:val="24"/>
                <w:szCs w:val="24"/>
              </w:rPr>
              <w:t>    </w:t>
            </w:r>
            <w:r w:rsidRPr="0044746F">
              <w:rPr>
                <w:sz w:val="24"/>
                <w:szCs w:val="24"/>
              </w:rPr>
              <w:t>36.600 </w:t>
            </w:r>
          </w:p>
        </w:tc>
      </w:tr>
    </w:tbl>
    <w:p w:rsidR="00A71D50" w:rsidRPr="00B108F2" w:rsidRDefault="00A71D50" w:rsidP="00D70CD4">
      <w:pPr>
        <w:jc w:val="both"/>
        <w:rPr>
          <w:sz w:val="24"/>
          <w:szCs w:val="24"/>
        </w:rPr>
      </w:pPr>
    </w:p>
    <w:p w:rsidR="00435AAD" w:rsidRDefault="00435AAD" w:rsidP="00D70CD4">
      <w:pPr>
        <w:jc w:val="both"/>
        <w:rPr>
          <w:sz w:val="24"/>
          <w:szCs w:val="24"/>
        </w:rPr>
      </w:pPr>
    </w:p>
    <w:p w:rsidR="00340D6C" w:rsidRPr="00B108F2" w:rsidRDefault="00B55B36" w:rsidP="00D70CD4">
      <w:pPr>
        <w:jc w:val="both"/>
        <w:rPr>
          <w:sz w:val="24"/>
          <w:szCs w:val="24"/>
        </w:rPr>
      </w:pPr>
      <w:r w:rsidRPr="00B108F2">
        <w:rPr>
          <w:sz w:val="24"/>
          <w:szCs w:val="24"/>
        </w:rPr>
        <w:t xml:space="preserve">L’età media dei nuclei </w:t>
      </w:r>
      <w:r w:rsidR="00435AAD">
        <w:rPr>
          <w:sz w:val="24"/>
          <w:szCs w:val="24"/>
        </w:rPr>
        <w:t xml:space="preserve">famigliari dei pazienti con deficit cognitivo in cura domiciliare </w:t>
      </w:r>
      <w:r w:rsidRPr="00B108F2">
        <w:rPr>
          <w:sz w:val="24"/>
          <w:szCs w:val="24"/>
        </w:rPr>
        <w:t>composti</w:t>
      </w:r>
      <w:r w:rsidR="00435AAD">
        <w:rPr>
          <w:sz w:val="24"/>
          <w:szCs w:val="24"/>
        </w:rPr>
        <w:t xml:space="preserve"> da più persone</w:t>
      </w:r>
      <w:r w:rsidRPr="00B108F2">
        <w:rPr>
          <w:sz w:val="24"/>
          <w:szCs w:val="24"/>
        </w:rPr>
        <w:t xml:space="preserve"> è </w:t>
      </w:r>
      <w:r w:rsidR="00435AAD">
        <w:rPr>
          <w:sz w:val="24"/>
          <w:szCs w:val="24"/>
        </w:rPr>
        <w:t xml:space="preserve">di norma </w:t>
      </w:r>
      <w:r w:rsidRPr="00B108F2">
        <w:rPr>
          <w:sz w:val="24"/>
          <w:szCs w:val="24"/>
        </w:rPr>
        <w:t>omogenea ed elevata.</w:t>
      </w:r>
    </w:p>
    <w:p w:rsidR="00B55B36" w:rsidRPr="00B108F2" w:rsidRDefault="00B55B36" w:rsidP="00D70CD4">
      <w:pPr>
        <w:jc w:val="both"/>
        <w:rPr>
          <w:sz w:val="24"/>
          <w:szCs w:val="24"/>
        </w:rPr>
      </w:pPr>
    </w:p>
    <w:p w:rsidR="00B55B36" w:rsidRDefault="00B55B36" w:rsidP="00D70CD4">
      <w:pPr>
        <w:jc w:val="both"/>
        <w:rPr>
          <w:sz w:val="24"/>
          <w:szCs w:val="24"/>
        </w:rPr>
      </w:pPr>
      <w:r w:rsidRPr="00B108F2">
        <w:rPr>
          <w:sz w:val="24"/>
          <w:szCs w:val="24"/>
        </w:rPr>
        <w:t>Pur in un contesto del genere la propria abitazione è il luogo previlegiato da</w:t>
      </w:r>
      <w:r w:rsidR="00A71D50" w:rsidRPr="00B108F2">
        <w:rPr>
          <w:sz w:val="24"/>
          <w:szCs w:val="24"/>
        </w:rPr>
        <w:t>lla maggio parte de</w:t>
      </w:r>
      <w:r w:rsidRPr="00B108F2">
        <w:rPr>
          <w:sz w:val="24"/>
          <w:szCs w:val="24"/>
        </w:rPr>
        <w:t>gli ammalati per la propria cura, in special modo dai pazienti cronici; il ricovero è un ripiego spesso doloroso, con effetto di aggravamento della sintomatologia e vissuto con la speranza di una provvisorietà.</w:t>
      </w:r>
    </w:p>
    <w:p w:rsidR="00435AAD" w:rsidRPr="00B108F2" w:rsidRDefault="00435AAD" w:rsidP="00D70CD4">
      <w:pPr>
        <w:jc w:val="both"/>
        <w:rPr>
          <w:sz w:val="24"/>
          <w:szCs w:val="24"/>
        </w:rPr>
      </w:pPr>
    </w:p>
    <w:p w:rsidR="00435AAD" w:rsidRPr="00B108F2" w:rsidRDefault="00435AAD" w:rsidP="00435AAD">
      <w:pPr>
        <w:jc w:val="both"/>
        <w:rPr>
          <w:sz w:val="24"/>
          <w:szCs w:val="24"/>
        </w:rPr>
      </w:pPr>
      <w:r w:rsidRPr="00B108F2">
        <w:rPr>
          <w:sz w:val="24"/>
          <w:szCs w:val="24"/>
        </w:rPr>
        <w:t>La prima difesa della possibilità di cure al domicilio è la difesa del domicilio inteso come convivenza di più persone, legate da rapporti affettivi stabili, appartenenti a più generazioni e capaci di relazioni: ciò ha implicazioni culturali, urbanistiche, economiche, socio-assistenziali, ecc.</w:t>
      </w:r>
    </w:p>
    <w:p w:rsidR="00394A94" w:rsidRPr="00B108F2" w:rsidRDefault="00394A94" w:rsidP="00D70CD4">
      <w:pPr>
        <w:jc w:val="both"/>
        <w:rPr>
          <w:sz w:val="24"/>
          <w:szCs w:val="24"/>
        </w:rPr>
      </w:pPr>
    </w:p>
    <w:p w:rsidR="00394A94" w:rsidRPr="00B108F2" w:rsidRDefault="00394A94" w:rsidP="00D70CD4">
      <w:pPr>
        <w:jc w:val="both"/>
        <w:rPr>
          <w:sz w:val="24"/>
          <w:szCs w:val="24"/>
        </w:rPr>
      </w:pPr>
      <w:r w:rsidRPr="00B108F2">
        <w:rPr>
          <w:sz w:val="24"/>
          <w:szCs w:val="24"/>
        </w:rPr>
        <w:t>Il domicilio inteso come luogo in cui risiedono i propri affetti è da sempre anche il luogo di cura meno oneroso tra quelli in grado di offrire cure adeguate.</w:t>
      </w:r>
    </w:p>
    <w:p w:rsidR="00394A94" w:rsidRPr="00B108F2" w:rsidRDefault="00394A94" w:rsidP="00D70CD4">
      <w:pPr>
        <w:jc w:val="both"/>
        <w:rPr>
          <w:sz w:val="24"/>
          <w:szCs w:val="24"/>
        </w:rPr>
      </w:pPr>
    </w:p>
    <w:p w:rsidR="00394A94" w:rsidRPr="00B108F2" w:rsidRDefault="00394A94" w:rsidP="00D70CD4">
      <w:pPr>
        <w:jc w:val="both"/>
        <w:rPr>
          <w:sz w:val="24"/>
          <w:szCs w:val="24"/>
        </w:rPr>
      </w:pPr>
      <w:r w:rsidRPr="00B108F2">
        <w:rPr>
          <w:sz w:val="24"/>
          <w:szCs w:val="24"/>
        </w:rPr>
        <w:t>In molti casi il domicilio non è in grado di offrire cure adeguate ai pazienti considerati in special modo quando la malattia assume forme severe ed ingravescenti.</w:t>
      </w:r>
    </w:p>
    <w:p w:rsidR="00B55B36" w:rsidRPr="00B108F2" w:rsidRDefault="00B55B36" w:rsidP="00D70CD4">
      <w:pPr>
        <w:jc w:val="both"/>
        <w:rPr>
          <w:sz w:val="24"/>
          <w:szCs w:val="24"/>
        </w:rPr>
      </w:pPr>
    </w:p>
    <w:p w:rsidR="00D70CD4" w:rsidRPr="00B108F2" w:rsidRDefault="00D70CD4" w:rsidP="00394A94">
      <w:pPr>
        <w:jc w:val="both"/>
        <w:rPr>
          <w:sz w:val="24"/>
          <w:szCs w:val="24"/>
        </w:rPr>
      </w:pPr>
      <w:r w:rsidRPr="00B108F2">
        <w:rPr>
          <w:sz w:val="24"/>
          <w:szCs w:val="24"/>
        </w:rPr>
        <w:t>Affinché però lo sia nel m</w:t>
      </w:r>
      <w:r w:rsidR="00394A94" w:rsidRPr="00B108F2">
        <w:rPr>
          <w:sz w:val="24"/>
          <w:szCs w:val="24"/>
        </w:rPr>
        <w:t>aggior numero dei casi</w:t>
      </w:r>
      <w:r w:rsidRPr="00B108F2">
        <w:rPr>
          <w:sz w:val="24"/>
          <w:szCs w:val="24"/>
        </w:rPr>
        <w:t xml:space="preserve"> occorre sostenere il luogo </w:t>
      </w:r>
      <w:r w:rsidR="00394A94" w:rsidRPr="00B108F2">
        <w:rPr>
          <w:sz w:val="24"/>
          <w:szCs w:val="24"/>
        </w:rPr>
        <w:t>degli affetti stabili</w:t>
      </w:r>
      <w:r w:rsidRPr="00B108F2">
        <w:rPr>
          <w:sz w:val="24"/>
          <w:szCs w:val="24"/>
        </w:rPr>
        <w:t xml:space="preserve"> cui il malato appartiene co</w:t>
      </w:r>
      <w:r w:rsidR="00690611" w:rsidRPr="00B108F2">
        <w:rPr>
          <w:sz w:val="24"/>
          <w:szCs w:val="24"/>
        </w:rPr>
        <w:t xml:space="preserve">n interventi di diversa natura </w:t>
      </w:r>
      <w:r w:rsidRPr="00B108F2">
        <w:rPr>
          <w:sz w:val="24"/>
          <w:szCs w:val="24"/>
        </w:rPr>
        <w:t>e variabili per mix al variare dell’intensità dei sintomi</w:t>
      </w:r>
      <w:r w:rsidR="00690611" w:rsidRPr="00B108F2">
        <w:rPr>
          <w:sz w:val="24"/>
          <w:szCs w:val="24"/>
        </w:rPr>
        <w:t>:</w:t>
      </w:r>
    </w:p>
    <w:p w:rsidR="00D70CD4" w:rsidRPr="00B108F2" w:rsidRDefault="00690611" w:rsidP="00394A94">
      <w:pPr>
        <w:pStyle w:val="Paragrafoelenco"/>
        <w:numPr>
          <w:ilvl w:val="2"/>
          <w:numId w:val="3"/>
        </w:numPr>
        <w:ind w:left="360"/>
        <w:jc w:val="both"/>
        <w:rPr>
          <w:sz w:val="24"/>
          <w:szCs w:val="24"/>
        </w:rPr>
      </w:pPr>
      <w:r w:rsidRPr="00B108F2">
        <w:rPr>
          <w:sz w:val="24"/>
          <w:szCs w:val="24"/>
        </w:rPr>
        <w:t xml:space="preserve">Riconoscimento </w:t>
      </w:r>
      <w:r w:rsidR="00D70CD4" w:rsidRPr="00B108F2">
        <w:rPr>
          <w:sz w:val="24"/>
          <w:szCs w:val="24"/>
        </w:rPr>
        <w:t xml:space="preserve">del ruolo del care </w:t>
      </w:r>
      <w:proofErr w:type="spellStart"/>
      <w:r w:rsidR="00D70CD4" w:rsidRPr="00B108F2">
        <w:rPr>
          <w:sz w:val="24"/>
          <w:szCs w:val="24"/>
        </w:rPr>
        <w:t>giver</w:t>
      </w:r>
      <w:proofErr w:type="spellEnd"/>
      <w:r w:rsidR="00D70CD4" w:rsidRPr="00B108F2">
        <w:rPr>
          <w:sz w:val="24"/>
          <w:szCs w:val="24"/>
        </w:rPr>
        <w:t>: estensione legge 104, deducibilità del costo</w:t>
      </w:r>
      <w:r w:rsidR="00394A94" w:rsidRPr="00B108F2">
        <w:rPr>
          <w:sz w:val="24"/>
          <w:szCs w:val="24"/>
        </w:rPr>
        <w:t xml:space="preserve"> quale spesa di assistenza</w:t>
      </w:r>
      <w:r w:rsidR="00D70CD4" w:rsidRPr="00B108F2">
        <w:rPr>
          <w:sz w:val="24"/>
          <w:szCs w:val="24"/>
        </w:rPr>
        <w:t>, istituzione della figura</w:t>
      </w:r>
      <w:r w:rsidR="00394A94" w:rsidRPr="00B108F2">
        <w:rPr>
          <w:sz w:val="24"/>
          <w:szCs w:val="24"/>
        </w:rPr>
        <w:t xml:space="preserve"> del care </w:t>
      </w:r>
      <w:proofErr w:type="spellStart"/>
      <w:r w:rsidR="00394A94" w:rsidRPr="00B108F2">
        <w:rPr>
          <w:sz w:val="24"/>
          <w:szCs w:val="24"/>
        </w:rPr>
        <w:t>giver</w:t>
      </w:r>
      <w:proofErr w:type="spellEnd"/>
      <w:r w:rsidR="00D70CD4" w:rsidRPr="00B108F2">
        <w:rPr>
          <w:sz w:val="24"/>
          <w:szCs w:val="24"/>
        </w:rPr>
        <w:t xml:space="preserve"> per situazioni in proprio prive</w:t>
      </w:r>
      <w:r w:rsidR="00A71D50" w:rsidRPr="00B108F2">
        <w:rPr>
          <w:sz w:val="24"/>
          <w:szCs w:val="24"/>
        </w:rPr>
        <w:t xml:space="preserve"> di figure di riferimento, loro formazione ed aggiornamento; </w:t>
      </w:r>
    </w:p>
    <w:p w:rsidR="00D70CD4" w:rsidRPr="00B108F2" w:rsidRDefault="00690611" w:rsidP="00394A94">
      <w:pPr>
        <w:pStyle w:val="Paragrafoelenco"/>
        <w:numPr>
          <w:ilvl w:val="2"/>
          <w:numId w:val="3"/>
        </w:numPr>
        <w:ind w:left="360"/>
        <w:jc w:val="both"/>
        <w:rPr>
          <w:sz w:val="24"/>
          <w:szCs w:val="24"/>
        </w:rPr>
      </w:pPr>
      <w:r w:rsidRPr="00B108F2">
        <w:rPr>
          <w:sz w:val="24"/>
          <w:szCs w:val="24"/>
        </w:rPr>
        <w:t>V</w:t>
      </w:r>
      <w:r w:rsidR="00D70CD4" w:rsidRPr="00B108F2">
        <w:rPr>
          <w:sz w:val="24"/>
          <w:szCs w:val="24"/>
        </w:rPr>
        <w:t xml:space="preserve">oucher </w:t>
      </w:r>
      <w:proofErr w:type="spellStart"/>
      <w:r w:rsidR="00D70CD4" w:rsidRPr="00B108F2">
        <w:rPr>
          <w:sz w:val="24"/>
          <w:szCs w:val="24"/>
        </w:rPr>
        <w:t>Adi</w:t>
      </w:r>
      <w:proofErr w:type="spellEnd"/>
      <w:r w:rsidR="00D70CD4" w:rsidRPr="00B108F2">
        <w:rPr>
          <w:sz w:val="24"/>
          <w:szCs w:val="24"/>
        </w:rPr>
        <w:t xml:space="preserve"> specifici per malattie neurologiche a carattere degenerativo</w:t>
      </w:r>
      <w:r w:rsidRPr="00B108F2">
        <w:rPr>
          <w:sz w:val="24"/>
          <w:szCs w:val="24"/>
        </w:rPr>
        <w:t xml:space="preserve"> con mix di figure professionali molto elastico</w:t>
      </w:r>
      <w:r w:rsidR="00A71D50" w:rsidRPr="00B108F2">
        <w:rPr>
          <w:sz w:val="24"/>
          <w:szCs w:val="24"/>
        </w:rPr>
        <w:t>;</w:t>
      </w:r>
    </w:p>
    <w:p w:rsidR="00520277" w:rsidRPr="00B108F2" w:rsidRDefault="00690611" w:rsidP="00690611">
      <w:pPr>
        <w:pStyle w:val="Paragrafoelenco"/>
        <w:numPr>
          <w:ilvl w:val="2"/>
          <w:numId w:val="3"/>
        </w:numPr>
        <w:ind w:left="360"/>
        <w:jc w:val="both"/>
        <w:rPr>
          <w:sz w:val="24"/>
          <w:szCs w:val="24"/>
        </w:rPr>
      </w:pPr>
      <w:r w:rsidRPr="00B108F2">
        <w:rPr>
          <w:sz w:val="24"/>
          <w:szCs w:val="24"/>
        </w:rPr>
        <w:lastRenderedPageBreak/>
        <w:t>R</w:t>
      </w:r>
      <w:r w:rsidR="00D70CD4" w:rsidRPr="00B108F2">
        <w:rPr>
          <w:sz w:val="24"/>
          <w:szCs w:val="24"/>
        </w:rPr>
        <w:t>iconoscimento della centralità di figure con diversa professionalità, anche molto bassa e conseguibile con corsi professionalizzanti ad erogat</w:t>
      </w:r>
      <w:r w:rsidRPr="00B108F2">
        <w:rPr>
          <w:sz w:val="24"/>
          <w:szCs w:val="24"/>
        </w:rPr>
        <w:t>ore diffuso: badanti, custodi</w:t>
      </w:r>
      <w:r w:rsidR="00D70CD4" w:rsidRPr="00B108F2">
        <w:rPr>
          <w:sz w:val="24"/>
          <w:szCs w:val="24"/>
        </w:rPr>
        <w:t xml:space="preserve">, assistenti famigliari, </w:t>
      </w:r>
      <w:proofErr w:type="spellStart"/>
      <w:r w:rsidRPr="00B108F2">
        <w:rPr>
          <w:sz w:val="24"/>
          <w:szCs w:val="24"/>
        </w:rPr>
        <w:t>Asa</w:t>
      </w:r>
      <w:proofErr w:type="spellEnd"/>
      <w:r w:rsidRPr="00B108F2">
        <w:rPr>
          <w:sz w:val="24"/>
          <w:szCs w:val="24"/>
        </w:rPr>
        <w:t xml:space="preserve">, </w:t>
      </w:r>
      <w:r w:rsidR="00D70CD4" w:rsidRPr="00B108F2">
        <w:rPr>
          <w:sz w:val="24"/>
          <w:szCs w:val="24"/>
        </w:rPr>
        <w:t>ecc.</w:t>
      </w:r>
    </w:p>
    <w:p w:rsidR="00690611" w:rsidRPr="00B108F2" w:rsidRDefault="00690611" w:rsidP="00690611">
      <w:pPr>
        <w:pStyle w:val="Paragrafoelenco"/>
        <w:numPr>
          <w:ilvl w:val="2"/>
          <w:numId w:val="3"/>
        </w:numPr>
        <w:ind w:left="360"/>
        <w:jc w:val="both"/>
        <w:rPr>
          <w:sz w:val="24"/>
          <w:szCs w:val="24"/>
        </w:rPr>
      </w:pPr>
      <w:r w:rsidRPr="00B108F2">
        <w:rPr>
          <w:sz w:val="24"/>
          <w:szCs w:val="24"/>
        </w:rPr>
        <w:t xml:space="preserve">Diffusione di centri diurni territoriali con servizio di accompagnamento da e per il domicilio; integrazione dei servizi diurni con servizi domiciliari. </w:t>
      </w:r>
    </w:p>
    <w:p w:rsidR="00690611" w:rsidRPr="00B108F2" w:rsidRDefault="00690611" w:rsidP="00690611">
      <w:pPr>
        <w:pStyle w:val="Paragrafoelenco"/>
        <w:numPr>
          <w:ilvl w:val="2"/>
          <w:numId w:val="3"/>
        </w:numPr>
        <w:ind w:left="360"/>
        <w:jc w:val="both"/>
        <w:rPr>
          <w:sz w:val="24"/>
          <w:szCs w:val="24"/>
        </w:rPr>
      </w:pPr>
      <w:r w:rsidRPr="00B108F2">
        <w:rPr>
          <w:sz w:val="24"/>
          <w:szCs w:val="24"/>
        </w:rPr>
        <w:t>Previsione di ricoveri di sollievo per periodi di temporaneo affievolimento del contesto famigliare.</w:t>
      </w:r>
    </w:p>
    <w:p w:rsidR="00690611" w:rsidRPr="00B108F2" w:rsidRDefault="00690611" w:rsidP="00690611">
      <w:pPr>
        <w:jc w:val="both"/>
        <w:rPr>
          <w:sz w:val="24"/>
          <w:szCs w:val="24"/>
        </w:rPr>
      </w:pPr>
    </w:p>
    <w:p w:rsidR="00A069B7" w:rsidRPr="00B108F2" w:rsidRDefault="00690611" w:rsidP="00690611">
      <w:pPr>
        <w:jc w:val="both"/>
        <w:rPr>
          <w:sz w:val="24"/>
          <w:szCs w:val="24"/>
        </w:rPr>
      </w:pPr>
      <w:r w:rsidRPr="00B108F2">
        <w:rPr>
          <w:sz w:val="24"/>
          <w:szCs w:val="24"/>
        </w:rPr>
        <w:t>La fondazione Maddalena Grassi</w:t>
      </w:r>
      <w:r w:rsidR="00A069B7" w:rsidRPr="00B108F2">
        <w:rPr>
          <w:sz w:val="24"/>
          <w:szCs w:val="24"/>
        </w:rPr>
        <w:t>,</w:t>
      </w:r>
      <w:r w:rsidRPr="00B108F2">
        <w:rPr>
          <w:sz w:val="24"/>
          <w:szCs w:val="24"/>
        </w:rPr>
        <w:t xml:space="preserve"> in sinergia con altri enti</w:t>
      </w:r>
      <w:r w:rsidR="00B108F2" w:rsidRPr="00B108F2">
        <w:rPr>
          <w:sz w:val="24"/>
          <w:szCs w:val="24"/>
        </w:rPr>
        <w:t xml:space="preserve"> (cooperativa Esserci e Fondazione Adele Bonolis </w:t>
      </w:r>
      <w:proofErr w:type="spellStart"/>
      <w:r w:rsidR="00B108F2" w:rsidRPr="00B108F2">
        <w:rPr>
          <w:sz w:val="24"/>
          <w:szCs w:val="24"/>
        </w:rPr>
        <w:t>AsFra</w:t>
      </w:r>
      <w:proofErr w:type="spellEnd"/>
      <w:r w:rsidR="00B108F2" w:rsidRPr="00B108F2">
        <w:rPr>
          <w:sz w:val="24"/>
          <w:szCs w:val="24"/>
        </w:rPr>
        <w:t>)</w:t>
      </w:r>
      <w:r w:rsidR="00A069B7" w:rsidRPr="00B108F2">
        <w:rPr>
          <w:sz w:val="24"/>
          <w:szCs w:val="24"/>
        </w:rPr>
        <w:t>,</w:t>
      </w:r>
      <w:r w:rsidRPr="00B108F2">
        <w:rPr>
          <w:sz w:val="24"/>
          <w:szCs w:val="24"/>
        </w:rPr>
        <w:t xml:space="preserve"> ha costruito quindici unità abitative</w:t>
      </w:r>
      <w:r w:rsidR="00B108F2" w:rsidRPr="00B108F2">
        <w:rPr>
          <w:sz w:val="24"/>
          <w:szCs w:val="24"/>
        </w:rPr>
        <w:t>,</w:t>
      </w:r>
      <w:r w:rsidRPr="00B108F2">
        <w:rPr>
          <w:sz w:val="24"/>
          <w:szCs w:val="24"/>
        </w:rPr>
        <w:t xml:space="preserve"> </w:t>
      </w:r>
      <w:r w:rsidR="00B108F2" w:rsidRPr="00B108F2">
        <w:rPr>
          <w:sz w:val="24"/>
          <w:szCs w:val="24"/>
        </w:rPr>
        <w:t>edificate ed arredate</w:t>
      </w:r>
      <w:r w:rsidR="00A069B7" w:rsidRPr="00B108F2">
        <w:rPr>
          <w:sz w:val="24"/>
          <w:szCs w:val="24"/>
        </w:rPr>
        <w:t xml:space="preserve"> con soluzioni facilitanti ed antinfortunistiche</w:t>
      </w:r>
      <w:r w:rsidR="00B108F2" w:rsidRPr="00B108F2">
        <w:rPr>
          <w:sz w:val="24"/>
          <w:szCs w:val="24"/>
        </w:rPr>
        <w:t>, contigue a luoghi presidiati da attività di ricovero, offrendo ai residenti supporti sanitari e logistici di intensità variabile</w:t>
      </w:r>
      <w:r w:rsidR="00A069B7" w:rsidRPr="00B108F2">
        <w:rPr>
          <w:sz w:val="24"/>
          <w:szCs w:val="24"/>
        </w:rPr>
        <w:t>. Ha attivato accoglienze diurne contigue a quelle in ricovero ed ha sperimentato forme di assistenza domiciliare integrata con forme di assistenza a distanza a mezzo web.</w:t>
      </w:r>
    </w:p>
    <w:p w:rsidR="00A069B7" w:rsidRPr="00B108F2" w:rsidRDefault="00A069B7" w:rsidP="00690611">
      <w:pPr>
        <w:jc w:val="both"/>
        <w:rPr>
          <w:sz w:val="24"/>
          <w:szCs w:val="24"/>
        </w:rPr>
      </w:pPr>
    </w:p>
    <w:p w:rsidR="00A069B7" w:rsidRDefault="00A069B7" w:rsidP="00690611">
      <w:pPr>
        <w:jc w:val="both"/>
        <w:rPr>
          <w:sz w:val="24"/>
          <w:szCs w:val="24"/>
        </w:rPr>
      </w:pPr>
      <w:r w:rsidRPr="00B108F2">
        <w:rPr>
          <w:sz w:val="24"/>
          <w:szCs w:val="24"/>
        </w:rPr>
        <w:t>Ovunque tali servizi sono stati attivati hanno permesso la residenza in luoghi abitativi a malati inabil</w:t>
      </w:r>
      <w:r w:rsidR="00AF61E6" w:rsidRPr="00B108F2">
        <w:rPr>
          <w:sz w:val="24"/>
          <w:szCs w:val="24"/>
        </w:rPr>
        <w:t>i ad una residenza autonoma che</w:t>
      </w:r>
      <w:r w:rsidRPr="00B108F2">
        <w:rPr>
          <w:sz w:val="24"/>
          <w:szCs w:val="24"/>
        </w:rPr>
        <w:t xml:space="preserve">, se privi di tali cure, </w:t>
      </w:r>
      <w:r w:rsidR="00B108F2" w:rsidRPr="00B108F2">
        <w:rPr>
          <w:sz w:val="24"/>
          <w:szCs w:val="24"/>
        </w:rPr>
        <w:t xml:space="preserve">sarebbero stati </w:t>
      </w:r>
      <w:r w:rsidRPr="00B108F2">
        <w:rPr>
          <w:sz w:val="24"/>
          <w:szCs w:val="24"/>
        </w:rPr>
        <w:t>costretti ad un ricovero o alla sua anticipazione.</w:t>
      </w:r>
    </w:p>
    <w:p w:rsidR="00435AAD" w:rsidRPr="00B108F2" w:rsidRDefault="00435AAD" w:rsidP="00690611">
      <w:pPr>
        <w:jc w:val="both"/>
        <w:rPr>
          <w:sz w:val="24"/>
          <w:szCs w:val="24"/>
        </w:rPr>
      </w:pPr>
      <w:r>
        <w:rPr>
          <w:sz w:val="24"/>
          <w:szCs w:val="24"/>
        </w:rPr>
        <w:t>L’immaginazione di luoghi di cura adatti a pazienti con patologie comples</w:t>
      </w:r>
      <w:r w:rsidR="00DF3AE0">
        <w:rPr>
          <w:sz w:val="24"/>
          <w:szCs w:val="24"/>
        </w:rPr>
        <w:t>se richiede realismo ed audacia affinché non si sottovaluti</w:t>
      </w:r>
      <w:r w:rsidR="00CD002A">
        <w:rPr>
          <w:sz w:val="24"/>
          <w:szCs w:val="24"/>
        </w:rPr>
        <w:t xml:space="preserve"> quanto già disponibile e non si trascuri quanto desiderabile.</w:t>
      </w:r>
    </w:p>
    <w:sectPr w:rsidR="00435AAD" w:rsidRPr="00B108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7045"/>
    <w:multiLevelType w:val="hybridMultilevel"/>
    <w:tmpl w:val="CEC88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252F2"/>
    <w:multiLevelType w:val="hybridMultilevel"/>
    <w:tmpl w:val="3CCE1FDA"/>
    <w:lvl w:ilvl="0" w:tplc="71788080">
      <w:start w:val="1"/>
      <w:numFmt w:val="decimal"/>
      <w:lvlText w:val="%1)"/>
      <w:lvlJc w:val="left"/>
      <w:pPr>
        <w:ind w:left="1065" w:hanging="360"/>
      </w:p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0410000F">
      <w:start w:val="1"/>
      <w:numFmt w:val="decimal"/>
      <w:lvlText w:val="%4."/>
      <w:lvlJc w:val="left"/>
      <w:pPr>
        <w:ind w:left="3225" w:hanging="360"/>
      </w:p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2A744BB"/>
    <w:multiLevelType w:val="hybridMultilevel"/>
    <w:tmpl w:val="E006FC8A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92"/>
    <w:rsid w:val="00293818"/>
    <w:rsid w:val="00340D6C"/>
    <w:rsid w:val="00394A94"/>
    <w:rsid w:val="00403ECA"/>
    <w:rsid w:val="00435AAD"/>
    <w:rsid w:val="0044746F"/>
    <w:rsid w:val="00520277"/>
    <w:rsid w:val="0057425C"/>
    <w:rsid w:val="00634C92"/>
    <w:rsid w:val="00690611"/>
    <w:rsid w:val="007506A1"/>
    <w:rsid w:val="009E42CD"/>
    <w:rsid w:val="00A069B7"/>
    <w:rsid w:val="00A46494"/>
    <w:rsid w:val="00A71D50"/>
    <w:rsid w:val="00AF61E6"/>
    <w:rsid w:val="00B108F2"/>
    <w:rsid w:val="00B40B39"/>
    <w:rsid w:val="00B55B36"/>
    <w:rsid w:val="00B90C19"/>
    <w:rsid w:val="00CD002A"/>
    <w:rsid w:val="00D70CD4"/>
    <w:rsid w:val="00DA671E"/>
    <w:rsid w:val="00DF3AE0"/>
    <w:rsid w:val="00F6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13514-D6AA-48F1-8D1D-BB1D689E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0CD4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0CD4"/>
    <w:pPr>
      <w:ind w:left="720"/>
    </w:pPr>
  </w:style>
  <w:style w:type="table" w:styleId="Grigliatabella">
    <w:name w:val="Table Grid"/>
    <w:basedOn w:val="Tabellanormale"/>
    <w:uiPriority w:val="39"/>
    <w:rsid w:val="00DA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Utente Windows</cp:lastModifiedBy>
  <cp:revision>2</cp:revision>
  <dcterms:created xsi:type="dcterms:W3CDTF">2022-05-09T07:44:00Z</dcterms:created>
  <dcterms:modified xsi:type="dcterms:W3CDTF">2022-05-09T07:44:00Z</dcterms:modified>
</cp:coreProperties>
</file>