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D83F" w14:textId="2E086AA0" w:rsidR="009D553C" w:rsidRDefault="00BB4713">
      <w:bookmarkStart w:id="0" w:name="_GoBack"/>
      <w:bookmarkEnd w:id="0"/>
      <w:r>
        <w:t>Carla Pettenati</w:t>
      </w:r>
    </w:p>
    <w:p w14:paraId="13EF57B1" w14:textId="690BCA79" w:rsidR="00BB4713" w:rsidRDefault="00BB4713">
      <w:r>
        <w:t>Convegno Gazzada 14 giugno 2022</w:t>
      </w:r>
    </w:p>
    <w:p w14:paraId="04636EF5" w14:textId="3FB1DB98" w:rsidR="00BB4713" w:rsidRDefault="00BB4713">
      <w:r w:rsidRPr="002B2C69">
        <w:t xml:space="preserve">I disturbi del comportamento </w:t>
      </w:r>
      <w:r>
        <w:t xml:space="preserve">nella demenza </w:t>
      </w:r>
      <w:r w:rsidRPr="002B2C69">
        <w:t xml:space="preserve">come espressione del </w:t>
      </w:r>
      <w:r>
        <w:t>d</w:t>
      </w:r>
      <w:r w:rsidRPr="002B2C69">
        <w:t>olore fisico</w:t>
      </w:r>
    </w:p>
    <w:p w14:paraId="2542214D" w14:textId="75043A98" w:rsidR="00BB4713" w:rsidRDefault="00BB4713"/>
    <w:p w14:paraId="3E48DF31" w14:textId="0CA72BF4" w:rsidR="00BB4713" w:rsidRDefault="00BB4713"/>
    <w:p w14:paraId="044DD841" w14:textId="0D9481ED" w:rsidR="00BB4713" w:rsidRDefault="00BB4713">
      <w:r>
        <w:t xml:space="preserve">Gli studi sul dolore fisico nella m. di Alzheimer e nelle demenze sono </w:t>
      </w:r>
      <w:r w:rsidR="000A7C55">
        <w:t>infrequenti rispetto ai prevalenti contributi sulla diagnosi e farmacologia</w:t>
      </w:r>
      <w:r>
        <w:t xml:space="preserve">, ma le evidenze </w:t>
      </w:r>
      <w:r w:rsidR="000A7C55">
        <w:t xml:space="preserve">robuste </w:t>
      </w:r>
      <w:r>
        <w:t xml:space="preserve">che se ne possono trarre </w:t>
      </w:r>
      <w:r w:rsidR="000A7C55">
        <w:t xml:space="preserve">sono numerose sia </w:t>
      </w:r>
      <w:r>
        <w:t xml:space="preserve">sulla </w:t>
      </w:r>
      <w:r w:rsidR="000A7C55">
        <w:t xml:space="preserve">scarsa </w:t>
      </w:r>
      <w:r>
        <w:t xml:space="preserve">valutazione del dolore fisico </w:t>
      </w:r>
      <w:r w:rsidR="000A7C55">
        <w:t>ch</w:t>
      </w:r>
      <w:r>
        <w:t>e sulla frequente inadeguatezza dei trattamenti analgesici.</w:t>
      </w:r>
    </w:p>
    <w:p w14:paraId="695EBDF2" w14:textId="226AB618" w:rsidR="00BB4713" w:rsidRPr="00BB4713" w:rsidRDefault="00BB4713" w:rsidP="00BB4713">
      <w:r>
        <w:t xml:space="preserve">La prevalenza della demenza di Alzheimer aumenta con l’aumentare della età, e vi </w:t>
      </w:r>
      <w:r w:rsidRPr="00BB4713">
        <w:t>sono ampie evidenze che l’invecchiamento è associato ad una quota elevata di condizioni patologiche che si accompagnano a dolore, indipendentemente dallo stato cognitivo</w:t>
      </w:r>
      <w:r>
        <w:t xml:space="preserve">. </w:t>
      </w:r>
      <w:r w:rsidRPr="00BB4713">
        <w:t>Conseguentemente il numero di pazienti con demenza che sperimenterà condizioni patologiche associate a dolore aumenterà in modo rilevante.</w:t>
      </w:r>
      <w:r>
        <w:t xml:space="preserve"> Una questione cruciale è come percepiscono il dolore le persone con demenza (sistema laterale sensori-discriminativo e mediale motivazionale-affettivo delle vie nervose del dolore). </w:t>
      </w:r>
      <w:r w:rsidRPr="00BB4713">
        <w:t>Pazienti con demenza possono manifestare il dolore con modalità in parte differenti dai soggetti anziani cognitivamente intatti, e particolarmente in fasi più avanzate di demenza la complessità e la conseguente, frequente, inadeguatezza dell’</w:t>
      </w:r>
      <w:proofErr w:type="spellStart"/>
      <w:r w:rsidRPr="00BB4713">
        <w:t>assessment</w:t>
      </w:r>
      <w:proofErr w:type="spellEnd"/>
      <w:r w:rsidRPr="00BB4713">
        <w:t xml:space="preserve"> del dolore causano sotto-trattamento</w:t>
      </w:r>
      <w:r>
        <w:t xml:space="preserve">. La preparazione degli operatori ad indagare e valutare la presenza di dolore fisico è un </w:t>
      </w:r>
      <w:proofErr w:type="spellStart"/>
      <w:r>
        <w:t>predittore</w:t>
      </w:r>
      <w:proofErr w:type="spellEnd"/>
      <w:r>
        <w:t xml:space="preserve"> significativo della prescrizione di appropriata terapia antidolorifica. L’a</w:t>
      </w:r>
      <w:r w:rsidRPr="00BB4713">
        <w:t>bilità di comunicazione del paziente condiziona la scelta dello strumento</w:t>
      </w:r>
      <w:r>
        <w:t>: s</w:t>
      </w:r>
      <w:r w:rsidRPr="00BB4713">
        <w:t>cale di autovalutazione, per lo più monodimensionali ed ancorate ad aspetti sensori-discriminativi (presenza ed intensità), associate a scale visive ed esame cognitivo, per valutare la capacità di ragionamento astratto</w:t>
      </w:r>
      <w:r>
        <w:t xml:space="preserve">. </w:t>
      </w:r>
      <w:r w:rsidRPr="00BB4713">
        <w:t xml:space="preserve">In pazienti non comunicativi </w:t>
      </w:r>
      <w:r w:rsidR="000A7C55">
        <w:t xml:space="preserve">sono indicate </w:t>
      </w:r>
      <w:r w:rsidRPr="00BB4713">
        <w:t>scale osservazionali, che testano anche aspetti motivazionali affettivi, tramite segni fisiologici (tachipnea), fisici (espressione facciale, grado di rilassamento), risposte autonomiche, comportamentali (difesa, lamenti)</w:t>
      </w:r>
      <w:r>
        <w:t>. Alcuni studi evidenziano come l’agitazione psicomotoria sia sensibile alla terapia analgesica nei termini di severità e tipo dei disturbi del comportamento nelle demenze</w:t>
      </w:r>
      <w:r w:rsidR="000A7C55">
        <w:t>, e come questo disturbo del comportamento associato al dolore fisico abbia una precisa base fisiopatologica</w:t>
      </w:r>
      <w:r>
        <w:t>.</w:t>
      </w:r>
    </w:p>
    <w:p w14:paraId="69D2517B" w14:textId="72A9D6A3" w:rsidR="00BB4713" w:rsidRPr="00BB4713" w:rsidRDefault="00BB4713" w:rsidP="00BB4713"/>
    <w:p w14:paraId="1E4E2824" w14:textId="448CC52F" w:rsidR="00BB4713" w:rsidRDefault="00BB4713"/>
    <w:sectPr w:rsidR="00BB4713" w:rsidSect="00BA2F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DB3"/>
    <w:multiLevelType w:val="hybridMultilevel"/>
    <w:tmpl w:val="6C7C5A8C"/>
    <w:lvl w:ilvl="0" w:tplc="3CF0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0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8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2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A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3"/>
    <w:rsid w:val="000A7C55"/>
    <w:rsid w:val="001F2474"/>
    <w:rsid w:val="00BA2F00"/>
    <w:rsid w:val="00BB4713"/>
    <w:rsid w:val="00C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4FA3"/>
  <w15:chartTrackingRefBased/>
  <w15:docId w15:val="{4F7CB56E-38B1-AE49-8D3E-F4182C17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47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B4713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pettenati</dc:creator>
  <cp:keywords/>
  <dc:description/>
  <cp:lastModifiedBy>Utente Windows</cp:lastModifiedBy>
  <cp:revision>2</cp:revision>
  <dcterms:created xsi:type="dcterms:W3CDTF">2022-06-07T14:44:00Z</dcterms:created>
  <dcterms:modified xsi:type="dcterms:W3CDTF">2022-06-07T14:44:00Z</dcterms:modified>
</cp:coreProperties>
</file>